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Pr>
          <w:sz w:val="22"/>
          <w:szCs w:val="22"/>
          <w:highlight w:val="white"/>
        </w:rPr>
      </w:r>
      <w:r>
        <w:rPr>
          <w:sz w:val="22"/>
          <w:szCs w:val="22"/>
          <w:highlight w:val="white"/>
        </w:rPr>
      </w:r>
    </w:p>
    <w:p>
      <w:pPr>
        <w:rPr>
          <w:sz w:val="22"/>
          <w:szCs w:val="22"/>
          <w:highlight w:val="white"/>
        </w:rPr>
      </w:pPr>
      <w:r>
        <w:rPr>
          <w:sz w:val="22"/>
          <w:szCs w:val="22"/>
          <w:highlight w:val="white"/>
        </w:rPr>
      </w: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r>
        <w:rPr>
          <w:sz w:val="22"/>
          <w:szCs w:val="22"/>
          <w:highlight w:val="white"/>
        </w:rPr>
      </w:r>
    </w:p>
    <w:p>
      <w:pPr>
        <w:pStyle w:val="1172"/>
        <w:ind w:firstLine="0"/>
        <w:jc w:val="center"/>
        <w:rPr>
          <w:rFonts w:eastAsia="MS Mincho"/>
          <w:b/>
          <w:szCs w:val="28"/>
          <w:highlight w:val="white"/>
        </w:rPr>
      </w:pPr>
      <w:r>
        <w:rPr>
          <w:rFonts w:eastAsia="MS Mincho"/>
          <w:b/>
          <w:szCs w:val="28"/>
          <w:highlight w:val="white"/>
        </w:rPr>
      </w:r>
      <w:r>
        <w:rPr>
          <w:rFonts w:eastAsia="MS Mincho"/>
          <w:b/>
          <w:szCs w:val="28"/>
          <w:highlight w:val="white"/>
        </w:rPr>
      </w:r>
      <w:r>
        <w:rPr>
          <w:rFonts w:eastAsia="MS Mincho"/>
          <w:b/>
          <w:szCs w:val="28"/>
          <w:highlight w:val="white"/>
        </w:rPr>
      </w:r>
    </w:p>
    <w:p>
      <w:pPr>
        <w:pStyle w:val="1172"/>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r>
        <w:rPr>
          <w:rFonts w:eastAsia="MS Mincho"/>
          <w:b/>
          <w:szCs w:val="28"/>
          <w:highlight w:val="white"/>
        </w:rPr>
      </w:r>
    </w:p>
    <w:p>
      <w:pPr>
        <w:pStyle w:val="1172"/>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r>
        <w:rPr>
          <w:b/>
          <w:bCs/>
          <w:szCs w:val="28"/>
          <w:highlight w:val="white"/>
        </w:rPr>
      </w:r>
    </w:p>
    <w:p>
      <w:pPr>
        <w:pStyle w:val="1172"/>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t xml:space="preserve">С</w:t>
      </w:r>
      <w:r>
        <w:rPr>
          <w:b/>
          <w:bCs/>
          <w:szCs w:val="28"/>
        </w:rPr>
        <w:t xml:space="preserve">МР, ПНР полным иждивением Подрядчика (дополнительный объем) по титулу: Реконструкция ТП-10/0,4 кВ №1797 с заменой на КТП-10/0,4 кВ с трансформатором 400 кВА ПС-110 кВ №355 "Можайск", ВЛ-10 кВ ф.8 от РУ-10 кв КТП-10/0,4 кВ до сущ.опоры №3, в т.ч. ПИР, МО, М</w:t>
      </w:r>
      <w:r>
        <w:rPr>
          <w:b/>
          <w:bCs/>
          <w:szCs w:val="28"/>
        </w:rPr>
        <w:t xml:space="preserve">ожайский р-н, д. Пушкино, АЗС "Газпромнефть", 50:18:0080441:36</w:t>
      </w:r>
      <w:r>
        <w:rPr>
          <w:b/>
          <w:bCs/>
          <w:szCs w:val="28"/>
        </w:rPr>
        <w:t xml:space="preserve"> </w:t>
      </w:r>
      <w:r>
        <w:rPr>
          <w:b/>
          <w:bCs/>
          <w:szCs w:val="24"/>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pStyle w:val="1172"/>
        <w:jc w:val="center"/>
        <w:rPr>
          <w:sz w:val="20"/>
          <w:highlight w:val="white"/>
        </w:rPr>
      </w:pPr>
      <w:r>
        <w:rPr>
          <w:sz w:val="20"/>
          <w:highlight w:val="white"/>
        </w:rPr>
      </w: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r>
        <w:rPr>
          <w:sz w:val="22"/>
          <w:szCs w:val="22"/>
          <w:highlight w:val="white"/>
        </w:rPr>
      </w:r>
    </w:p>
    <w:p>
      <w:pPr>
        <w:pStyle w:val="1184"/>
        <w:ind w:left="410"/>
        <w:jc w:val="left"/>
        <w:spacing w:line="240" w:lineRule="auto"/>
        <w:widowControl/>
        <w:tabs>
          <w:tab w:val="left" w:pos="9374" w:leader="dot"/>
        </w:tabs>
        <w:rPr>
          <w:rStyle w:val="1182"/>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82"/>
          <w:highlight w:val="white"/>
        </w:rPr>
      </w:r>
      <w:r>
        <w:rPr>
          <w:rStyle w:val="1182"/>
          <w:highlight w:val="white"/>
        </w:rPr>
      </w:r>
    </w:p>
    <w:p>
      <w:pPr>
        <w:jc w:val="center"/>
        <w:rPr>
          <w:b/>
          <w:bCs/>
          <w:sz w:val="26"/>
          <w:szCs w:val="26"/>
          <w:highlight w:val="white"/>
        </w:rPr>
      </w:pPr>
      <w:r/>
      <w:bookmarkStart w:id="1" w:name="_Toc341278316"/>
      <w:r/>
      <w:bookmarkStart w:id="2" w:name="_Toc319328703"/>
      <w:r/>
      <w:bookmarkEnd w:id="0"/>
      <w:r/>
      <w:bookmarkEnd w:id="1"/>
      <w:r>
        <w:rPr>
          <w:b/>
          <w:bCs/>
          <w:sz w:val="26"/>
          <w:szCs w:val="26"/>
          <w:highlight w:val="white"/>
        </w:rPr>
      </w:r>
      <w:r>
        <w:rPr>
          <w:b/>
          <w:bCs/>
          <w:sz w:val="26"/>
          <w:szCs w:val="26"/>
          <w:highlight w:val="white"/>
        </w:rPr>
      </w:r>
    </w:p>
    <w:p>
      <w:pPr>
        <w:pStyle w:val="1152"/>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r>
        <w:rPr>
          <w:rFonts w:ascii="Times New Roman" w:hAnsi="Times New Roman"/>
          <w:highlight w:val="white"/>
        </w:rPr>
      </w:r>
    </w:p>
    <w:p>
      <w:pPr>
        <w:rPr>
          <w:highlight w:val="white"/>
        </w:rPr>
      </w:pPr>
      <w:r>
        <w:rPr>
          <w:highlight w:val="white"/>
        </w:rPr>
      </w:r>
      <w:r>
        <w:rPr>
          <w:highlight w:val="white"/>
        </w:rPr>
      </w:r>
      <w:r>
        <w:rPr>
          <w:highlight w:val="white"/>
        </w:rPr>
      </w:r>
    </w:p>
    <w:p>
      <w:pPr>
        <w:pStyle w:val="1143"/>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6"/>
            <w:highlight w:val="white"/>
          </w:rPr>
          <w:t xml:space="preserve">ОБЩИЕ СВЕДЕНИЯ</w:t>
        </w:r>
        <w:r>
          <w:rPr>
            <w:rStyle w:val="1136"/>
            <w:highlight w:val="white"/>
            <w:lang w:val="en-US"/>
          </w:rPr>
          <w:t xml:space="preserve"> </w:t>
        </w:r>
        <w:r>
          <w:rPr>
            <w:rStyle w:val="1136"/>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61" w:anchor="_Toc128406161" w:history="1">
        <w:r>
          <w:rPr>
            <w:rStyle w:val="1136"/>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2" w:anchor="_Toc128406162" w:history="1">
        <w:r>
          <w:rPr>
            <w:rStyle w:val="1136"/>
            <w:highlight w:val="white"/>
          </w:rPr>
          <w:t xml:space="preserve">1.</w:t>
        </w:r>
        <w:r>
          <w:rPr>
            <w:rFonts w:ascii="Calibri" w:hAnsi="Calibri"/>
            <w:sz w:val="22"/>
            <w:szCs w:val="22"/>
            <w:highlight w:val="white"/>
          </w:rPr>
          <w:tab/>
        </w:r>
        <w:r>
          <w:rPr>
            <w:rStyle w:val="1136"/>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3" w:anchor="_Toc128406163" w:history="1">
        <w:r>
          <w:rPr>
            <w:rStyle w:val="1136"/>
            <w:highlight w:val="white"/>
          </w:rPr>
          <w:t xml:space="preserve">2.</w:t>
        </w:r>
        <w:r>
          <w:rPr>
            <w:rFonts w:ascii="Calibri" w:hAnsi="Calibri"/>
            <w:sz w:val="22"/>
            <w:szCs w:val="22"/>
            <w:highlight w:val="white"/>
          </w:rPr>
          <w:tab/>
        </w:r>
        <w:r>
          <w:rPr>
            <w:rStyle w:val="1136"/>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4" w:anchor="_Toc128406164" w:history="1">
        <w:r>
          <w:rPr>
            <w:rStyle w:val="1136"/>
            <w:highlight w:val="white"/>
          </w:rPr>
          <w:t xml:space="preserve">2.1.</w:t>
        </w:r>
        <w:r>
          <w:rPr>
            <w:rFonts w:ascii="Calibri" w:hAnsi="Calibri"/>
            <w:sz w:val="22"/>
            <w:szCs w:val="22"/>
            <w:highlight w:val="white"/>
          </w:rPr>
          <w:tab/>
        </w:r>
        <w:r>
          <w:rPr>
            <w:rStyle w:val="1136"/>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5" w:anchor="_Toc128406165" w:history="1">
        <w:r>
          <w:rPr>
            <w:rStyle w:val="1136"/>
            <w:highlight w:val="white"/>
          </w:rPr>
          <w:t xml:space="preserve">2.2.</w:t>
        </w:r>
        <w:r>
          <w:rPr>
            <w:rFonts w:ascii="Calibri" w:hAnsi="Calibri"/>
            <w:sz w:val="22"/>
            <w:szCs w:val="22"/>
            <w:highlight w:val="white"/>
          </w:rPr>
          <w:tab/>
        </w:r>
        <w:r>
          <w:rPr>
            <w:rStyle w:val="1136"/>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6" w:anchor="_Toc128406166" w:history="1">
        <w:r>
          <w:rPr>
            <w:rStyle w:val="1136"/>
            <w:highlight w:val="white"/>
          </w:rPr>
          <w:t xml:space="preserve">2.3.</w:t>
        </w:r>
        <w:r>
          <w:rPr>
            <w:rFonts w:ascii="Calibri" w:hAnsi="Calibri"/>
            <w:sz w:val="22"/>
            <w:szCs w:val="22"/>
            <w:highlight w:val="white"/>
          </w:rPr>
          <w:tab/>
        </w:r>
        <w:r>
          <w:rPr>
            <w:rStyle w:val="1136"/>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7" w:anchor="_Toc128406167" w:history="1">
        <w:r>
          <w:rPr>
            <w:rStyle w:val="1136"/>
            <w:highlight w:val="white"/>
          </w:rPr>
          <w:t xml:space="preserve">2.4.</w:t>
        </w:r>
        <w:r>
          <w:rPr>
            <w:rFonts w:ascii="Calibri" w:hAnsi="Calibri"/>
            <w:sz w:val="22"/>
            <w:szCs w:val="22"/>
            <w:highlight w:val="white"/>
          </w:rPr>
          <w:tab/>
        </w:r>
        <w:r>
          <w:rPr>
            <w:rStyle w:val="1136"/>
            <w:highlight w:val="white"/>
          </w:rPr>
          <w:t xml:space="preserve">Требования к валюте предложения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8" w:anchor="_Toc128406168" w:history="1">
        <w:r>
          <w:rPr>
            <w:rStyle w:val="1136"/>
            <w:highlight w:val="white"/>
          </w:rPr>
          <w:t xml:space="preserve">2.5.</w:t>
        </w:r>
        <w:r>
          <w:rPr>
            <w:rFonts w:ascii="Calibri" w:hAnsi="Calibri"/>
            <w:sz w:val="22"/>
            <w:szCs w:val="22"/>
            <w:highlight w:val="white"/>
          </w:rPr>
          <w:tab/>
        </w:r>
        <w:r>
          <w:rPr>
            <w:rStyle w:val="1136"/>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9" w:anchor="_Toc128406169" w:history="1">
        <w:r>
          <w:rPr>
            <w:rStyle w:val="1136"/>
            <w:highlight w:val="white"/>
          </w:rPr>
          <w:t xml:space="preserve">3.</w:t>
        </w:r>
        <w:r>
          <w:rPr>
            <w:rFonts w:ascii="Calibri" w:hAnsi="Calibri"/>
            <w:sz w:val="22"/>
            <w:szCs w:val="22"/>
            <w:highlight w:val="white"/>
          </w:rPr>
          <w:tab/>
        </w:r>
        <w:r>
          <w:rPr>
            <w:rStyle w:val="1136"/>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0" w:anchor="_Toc128406170" w:history="1">
        <w:r>
          <w:rPr>
            <w:rStyle w:val="1136"/>
            <w:highlight w:val="white"/>
          </w:rPr>
          <w:t xml:space="preserve">4.</w:t>
        </w:r>
        <w:r>
          <w:rPr>
            <w:rFonts w:ascii="Calibri" w:hAnsi="Calibri"/>
            <w:sz w:val="22"/>
            <w:szCs w:val="22"/>
            <w:highlight w:val="white"/>
          </w:rPr>
          <w:tab/>
        </w:r>
        <w:r>
          <w:rPr>
            <w:rStyle w:val="1136"/>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1" w:anchor="_Toc128406171" w:history="1">
        <w:r>
          <w:rPr>
            <w:rStyle w:val="1136"/>
            <w:highlight w:val="white"/>
          </w:rPr>
          <w:t xml:space="preserve">5.</w:t>
        </w:r>
        <w:r>
          <w:rPr>
            <w:rFonts w:ascii="Calibri" w:hAnsi="Calibri"/>
            <w:sz w:val="22"/>
            <w:szCs w:val="22"/>
            <w:highlight w:val="white"/>
          </w:rPr>
          <w:tab/>
        </w:r>
        <w:r>
          <w:rPr>
            <w:rStyle w:val="1136"/>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72" w:anchor="_Toc128406172" w:history="1">
        <w:r>
          <w:rPr>
            <w:rStyle w:val="1136"/>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3" w:anchor="_Toc128406173" w:history="1">
        <w:r>
          <w:rPr>
            <w:rStyle w:val="1136"/>
            <w:highlight w:val="white"/>
          </w:rPr>
          <w:t xml:space="preserve">1.</w:t>
        </w:r>
        <w:r>
          <w:rPr>
            <w:rFonts w:ascii="Calibri" w:hAnsi="Calibri"/>
            <w:sz w:val="22"/>
            <w:szCs w:val="22"/>
            <w:highlight w:val="white"/>
          </w:rPr>
          <w:tab/>
        </w:r>
        <w:r>
          <w:rPr>
            <w:rStyle w:val="1136"/>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4" w:anchor="_Toc128406174" w:history="1">
        <w:r>
          <w:rPr>
            <w:rStyle w:val="1136"/>
            <w:highlight w:val="white"/>
          </w:rPr>
          <w:t xml:space="preserve">2.</w:t>
        </w:r>
        <w:r>
          <w:rPr>
            <w:rFonts w:ascii="Calibri" w:hAnsi="Calibri"/>
            <w:sz w:val="22"/>
            <w:szCs w:val="22"/>
            <w:highlight w:val="white"/>
          </w:rPr>
          <w:tab/>
        </w:r>
        <w:r>
          <w:rPr>
            <w:rStyle w:val="1136"/>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5" w:anchor="_Toc128406175" w:history="1">
        <w:r>
          <w:rPr>
            <w:rStyle w:val="1136"/>
            <w:highlight w:val="white"/>
          </w:rPr>
          <w:t xml:space="preserve">3.</w:t>
        </w:r>
        <w:r>
          <w:rPr>
            <w:rFonts w:ascii="Calibri" w:hAnsi="Calibri"/>
            <w:sz w:val="22"/>
            <w:szCs w:val="22"/>
            <w:highlight w:val="white"/>
          </w:rPr>
          <w:tab/>
        </w:r>
        <w:r>
          <w:rPr>
            <w:rStyle w:val="1136"/>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PAGEREF _Toc128406175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6" w:anchor="_Toc128406176" w:history="1">
        <w:r>
          <w:rPr>
            <w:rStyle w:val="1136"/>
            <w:highlight w:val="white"/>
          </w:rPr>
          <w:t xml:space="preserve">4.</w:t>
        </w:r>
        <w:r>
          <w:rPr>
            <w:rFonts w:ascii="Calibri" w:hAnsi="Calibri"/>
            <w:sz w:val="22"/>
            <w:szCs w:val="22"/>
            <w:highlight w:val="white"/>
          </w:rPr>
          <w:tab/>
        </w:r>
        <w:r>
          <w:rPr>
            <w:rStyle w:val="1136"/>
            <w:highlight w:val="white"/>
          </w:rPr>
          <w:t xml:space="preserve">Процедура на понижение цены (переторжка) (ПОЛОЖЕНИЯ ДАННОГО РАЗДЕЛА ПРИМЕНЯЮТСЯ, В СЛУЧАЕ ЕСЛИ ДАННАЯ ПРОЦЕДУРА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7" w:anchor="_Toc128406177" w:history="1">
        <w:r>
          <w:rPr>
            <w:rStyle w:val="1136"/>
            <w:highlight w:val="white"/>
          </w:rPr>
          <w:t xml:space="preserve">5.</w:t>
        </w:r>
        <w:r>
          <w:rPr>
            <w:rFonts w:ascii="Calibri" w:hAnsi="Calibri"/>
            <w:sz w:val="22"/>
            <w:szCs w:val="22"/>
            <w:highlight w:val="white"/>
          </w:rPr>
          <w:tab/>
        </w:r>
        <w:r>
          <w:rPr>
            <w:rStyle w:val="1136"/>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8" w:anchor="_Toc128406178" w:history="1">
        <w:r>
          <w:rPr>
            <w:rStyle w:val="1136"/>
            <w:highlight w:val="white"/>
          </w:rPr>
          <w:t xml:space="preserve">6.</w:t>
        </w:r>
        <w:r>
          <w:rPr>
            <w:rFonts w:ascii="Calibri" w:hAnsi="Calibri"/>
            <w:sz w:val="22"/>
            <w:szCs w:val="22"/>
            <w:highlight w:val="white"/>
          </w:rPr>
          <w:tab/>
        </w:r>
        <w:r>
          <w:rPr>
            <w:rStyle w:val="1136"/>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9" w:anchor="_Toc128406179" w:history="1">
        <w:r>
          <w:rPr>
            <w:rStyle w:val="1136"/>
            <w:highlight w:val="white"/>
          </w:rPr>
          <w:t xml:space="preserve">7.</w:t>
        </w:r>
        <w:r>
          <w:rPr>
            <w:rFonts w:ascii="Calibri" w:hAnsi="Calibri"/>
            <w:sz w:val="22"/>
            <w:szCs w:val="22"/>
            <w:highlight w:val="white"/>
          </w:rPr>
          <w:tab/>
        </w:r>
        <w:r>
          <w:rPr>
            <w:rStyle w:val="1136"/>
            <w:highlight w:val="white"/>
          </w:rPr>
          <w:t xml:space="preserve">Подписание Договора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0" w:anchor="_Toc128406180" w:history="1">
        <w:r>
          <w:rPr>
            <w:rStyle w:val="1136"/>
            <w:highlight w:val="white"/>
          </w:rPr>
          <w:t xml:space="preserve">8.</w:t>
        </w:r>
        <w:r>
          <w:rPr>
            <w:rFonts w:ascii="Calibri" w:hAnsi="Calibri"/>
            <w:sz w:val="22"/>
            <w:szCs w:val="22"/>
            <w:highlight w:val="white"/>
          </w:rPr>
          <w:tab/>
        </w:r>
        <w:r>
          <w:rPr>
            <w:rStyle w:val="1136"/>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1" w:anchor="_Toc128406181" w:history="1">
        <w:r>
          <w:rPr>
            <w:rStyle w:val="1136"/>
            <w:highlight w:val="white"/>
          </w:rPr>
          <w:t xml:space="preserve">9.</w:t>
        </w:r>
        <w:r>
          <w:rPr>
            <w:rFonts w:ascii="Calibri" w:hAnsi="Calibri"/>
            <w:sz w:val="22"/>
            <w:szCs w:val="22"/>
            <w:highlight w:val="white"/>
          </w:rPr>
          <w:tab/>
        </w:r>
        <w:r>
          <w:rPr>
            <w:rStyle w:val="1136"/>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880" w:leader="none"/>
          <w:tab w:val="right" w:pos="9838" w:leader="dot"/>
        </w:tabs>
        <w:rPr>
          <w:rFonts w:ascii="Calibri" w:hAnsi="Calibri"/>
          <w:sz w:val="22"/>
          <w:szCs w:val="22"/>
          <w:highlight w:val="white"/>
        </w:rPr>
      </w:pPr>
      <w:r/>
      <w:hyperlink w:tooltip="#_Toc191625440" w:anchor="_Toc191625440" w:history="1">
        <w:r>
          <w:rPr>
            <w:rStyle w:val="1136"/>
            <w:highlight w:val="white"/>
          </w:rPr>
          <w:t xml:space="preserve">10</w:t>
        </w:r>
        <w:r>
          <w:rPr>
            <w:rFonts w:ascii="Calibri" w:hAnsi="Calibri"/>
            <w:sz w:val="22"/>
            <w:szCs w:val="22"/>
            <w:highlight w:val="white"/>
          </w:rPr>
          <w:tab/>
        </w:r>
        <w:r>
          <w:rPr>
            <w:rStyle w:val="1136"/>
            <w:highlight w:val="white"/>
          </w:rPr>
          <w:t xml:space="preserve">Изменение и расторжение договора</w:t>
        </w:r>
        <w:r>
          <w:rPr>
            <w:highlight w:val="white"/>
          </w:rPr>
          <w:tab/>
        </w:r>
      </w:hyperlink>
      <w:r>
        <w:rPr>
          <w:highlight w:val="white"/>
        </w:rPr>
        <w:t xml:space="preserve">18</w:t>
      </w:r>
      <w:r>
        <w:rPr>
          <w:rFonts w:ascii="Calibri" w:hAnsi="Calibri"/>
          <w:sz w:val="22"/>
          <w:szCs w:val="22"/>
          <w:highlight w:val="white"/>
        </w:rPr>
      </w:r>
      <w:r>
        <w:rPr>
          <w:rFonts w:ascii="Calibri" w:hAnsi="Calibri"/>
          <w:sz w:val="22"/>
          <w:szCs w:val="22"/>
          <w:highlight w:val="white"/>
        </w:rPr>
      </w:r>
    </w:p>
    <w:p>
      <w:pPr>
        <w:pStyle w:val="1144"/>
        <w:tabs>
          <w:tab w:val="right" w:pos="9838" w:leader="dot"/>
        </w:tabs>
        <w:rPr>
          <w:highlight w:val="white"/>
        </w:rPr>
      </w:pPr>
      <w:r/>
      <w:hyperlink w:tooltip="#_Toc128406184" w:anchor="_Toc128406184" w:history="1">
        <w:r>
          <w:rPr>
            <w:rStyle w:val="1136"/>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r>
        <w:rPr>
          <w:highlight w:val="white"/>
        </w:rPr>
      </w:r>
    </w:p>
    <w:p>
      <w:pPr>
        <w:rPr>
          <w:highlight w:val="white"/>
        </w:rPr>
      </w:pPr>
      <w:r>
        <w:rPr>
          <w:highlight w:val="white"/>
        </w:rPr>
      </w: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Pr>
          <w:b/>
          <w:bCs/>
          <w:sz w:val="32"/>
          <w:szCs w:val="32"/>
          <w:highlight w:val="white"/>
        </w:rPr>
      </w:r>
      <w:r>
        <w:rPr>
          <w:b/>
          <w:bCs/>
          <w:sz w:val="32"/>
          <w:szCs w:val="32"/>
          <w:highlight w:val="white"/>
        </w:rPr>
      </w:r>
    </w:p>
    <w:p>
      <w:pPr>
        <w:pStyle w:val="1172"/>
        <w:ind w:left="6237" w:firstLine="0"/>
        <w:rPr>
          <w:rFonts w:eastAsia="MS Mincho"/>
          <w:szCs w:val="28"/>
          <w:highlight w:val="white"/>
        </w:rPr>
      </w:pPr>
      <w:r>
        <w:rPr>
          <w:rFonts w:eastAsia="MS Mincho"/>
          <w:szCs w:val="28"/>
          <w:highlight w:val="white"/>
        </w:rPr>
      </w: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r/>
            <w:bookmarkEnd w:id="12"/>
            <w:r/>
            <w:bookmarkEnd w:id="13"/>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4209р от 07.07.2026</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w:t>
            </w:r>
            <w:r>
              <w:rPr>
                <w:highlight w:val="white"/>
              </w:rPr>
              <w:t xml:space="preserve">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 xml:space="preserve">№32514779384</w:t>
            </w:r>
            <w:r>
              <w:rPr>
                <w:highlight w:val="white"/>
              </w:rPr>
              <w:t xml:space="preserve"> на </w:t>
            </w:r>
            <w:hyperlink r:id="rId19"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r>
              <w:rPr>
                <w:highlight w:val="white"/>
              </w:rPr>
            </w:r>
          </w:p>
          <w:p>
            <w:pPr>
              <w:jc w:val="both"/>
              <w:rPr>
                <w:highlight w:val="white"/>
              </w:rPr>
            </w:pPr>
            <w:r>
              <w:rPr>
                <w:highlight w:val="white"/>
              </w:rPr>
              <w:t xml:space="preserve">ПАО «Россети Московский регион».</w:t>
            </w:r>
            <w:r>
              <w:rPr>
                <w:highlight w:val="white"/>
              </w:rPr>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6"/>
                  <w:highlight w:val="white"/>
                  <w:lang w:val="en-US"/>
                </w:rPr>
                <w:t xml:space="preserve">client</w:t>
              </w:r>
              <w:r>
                <w:rPr>
                  <w:rStyle w:val="1136"/>
                  <w:highlight w:val="white"/>
                </w:rPr>
                <w:t xml:space="preserve">@</w:t>
              </w:r>
              <w:r>
                <w:rPr>
                  <w:rStyle w:val="1136"/>
                  <w:highlight w:val="white"/>
                  <w:lang w:val="en-US"/>
                </w:rPr>
                <w:t xml:space="preserve">rossetimr</w:t>
              </w:r>
              <w:r>
                <w:rPr>
                  <w:rStyle w:val="1136"/>
                  <w:highlight w:val="white"/>
                </w:rPr>
                <w:t xml:space="preserve">.</w:t>
              </w:r>
              <w:r>
                <w:rPr>
                  <w:rStyle w:val="1136"/>
                  <w:highlight w:val="white"/>
                  <w:lang w:val="en-US"/>
                </w:rPr>
                <w:t xml:space="preserve">ru</w:t>
              </w:r>
            </w:hyperlink>
            <w:r>
              <w:rPr>
                <w:highlight w:val="white"/>
              </w:rPr>
            </w:r>
            <w:r>
              <w:rPr>
                <w:highlight w:val="white"/>
              </w:rPr>
            </w:r>
          </w:p>
          <w:p>
            <w:pPr>
              <w:jc w:val="both"/>
              <w:rPr>
                <w:highlight w:val="white"/>
              </w:rPr>
            </w:pPr>
            <w:r>
              <w:rPr>
                <w:highlight w:val="white"/>
              </w:rPr>
              <w:t xml:space="preserve">Телефон: (495) 662-40-70.</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t xml:space="preserve">ПАО «Россети Московский регион» – Западные электрические сети.</w:t>
            </w:r>
            <w:r>
              <w:rPr>
                <w:highlight w:val="white"/>
              </w:rPr>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r>
              <w:rPr>
                <w:highlight w:val="white"/>
              </w:rPr>
            </w:r>
          </w:p>
          <w:p>
            <w:pPr>
              <w:jc w:val="both"/>
              <w:rPr>
                <w:highlight w:val="white"/>
              </w:rPr>
            </w:pPr>
            <w:r>
              <w:rPr>
                <w:highlight w:val="white"/>
              </w:rPr>
              <w:t xml:space="preserve">Контактные лица Организатора: </w:t>
            </w:r>
            <w:r>
              <w:rPr>
                <w:highlight w:val="white"/>
              </w:rPr>
            </w:r>
            <w:r>
              <w:rPr>
                <w:highlight w:val="white"/>
              </w:rPr>
            </w:r>
          </w:p>
          <w:p>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 xml:space="preserve">GricenkoNV</w:t>
            </w:r>
            <w:r>
              <w:rPr>
                <w:color w:val="0000ff"/>
                <w:highlight w:val="white"/>
              </w:rPr>
              <w:t xml:space="preserve">@rossetimr.ru</w:t>
            </w:r>
            <w:r>
              <w:rPr>
                <w:highlight w:val="white"/>
              </w:rPr>
              <w:t xml:space="preserve">, телефон: (495) 525-73-00 (доб. 20-30).</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w:t>
            </w:r>
            <w:r>
              <w:rPr>
                <w:highlight w:val="white"/>
              </w:rPr>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w:t>
            </w:r>
            <w:r>
              <w:rPr>
                <w:b/>
                <w:highlight w:val="white"/>
              </w:rPr>
              <w:t xml:space="preserve"> </w:t>
            </w:r>
            <w:r>
              <w:rPr>
                <w:b/>
                <w:bCs/>
              </w:rPr>
              <w:t xml:space="preserve">С</w:t>
            </w:r>
            <w:r>
              <w:rPr>
                <w:b/>
                <w:bCs/>
              </w:rPr>
              <w:t xml:space="preserve">МР, ПНР полным иждивением Подрядчика (дополнительный объем) по титулу: Реконструкция ТП-10/0,4 кВ №1797 с заменой на КТП-10/0,4 кВ с трансформатором 400 кВА ПС-110 кВ №355 "Можайск", ВЛ-10 кВ ф.8 от РУ-10 кв КТП-10/0,4 кВ до сущ.опоры №3, в т.ч. ПИР, МО, М</w:t>
            </w:r>
            <w:r>
              <w:rPr>
                <w:b/>
                <w:bCs/>
              </w:rPr>
              <w:t xml:space="preserve">ожайский р-н, д. Пушкино, АЗС "Газпромнефть", 50:18:0080441:36</w:t>
            </w:r>
            <w:r>
              <w:rPr>
                <w:b/>
                <w:bCs/>
              </w:rPr>
              <w:t xml:space="preserve"> </w:t>
            </w:r>
            <w:r>
              <w:rPr>
                <w:bCs/>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(максимальной) цене договора (начальной (максимальной) цене закупки) (далее по тексту – НМЦ)</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2 894 058,38</w:t>
            </w:r>
            <w:r>
              <w:rPr>
                <w:b/>
                <w:bCs/>
              </w:rPr>
              <w:t xml:space="preserve"> </w:t>
            </w:r>
            <w:r>
              <w:rPr>
                <w:b/>
                <w:highlight w:val="white"/>
              </w:rPr>
              <w:t xml:space="preserve">руб. </w:t>
            </w:r>
            <w:r>
              <w:rPr>
                <w:b/>
                <w:highlight w:val="white"/>
                <w:lang w:val="en-US"/>
              </w:rPr>
              <w:t xml:space="preserve">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r>
              <w:rPr>
                <w:highlight w:val="white"/>
              </w:rPr>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r>
              <w:rPr>
                <w:highlight w:val="white"/>
              </w:rPr>
            </w:r>
          </w:p>
        </w:tc>
        <w:tc>
          <w:tcPr>
            <w:tcW w:w="3306" w:type="pct"/>
            <w:vAlign w:val="center"/>
            <w:textDirection w:val="lrTb"/>
            <w:noWrap w:val="false"/>
          </w:tcPr>
          <w:p>
            <w:pPr>
              <w:jc w:val="both"/>
              <w:rPr>
                <w:highlight w:val="white"/>
              </w:rPr>
            </w:pPr>
            <w:r/>
            <w:bookmarkStart w:id="26" w:name="_Toc536605205"/>
            <w:r/>
            <w:bookmarkStart w:id="27" w:name="_Toc536624529"/>
            <w:r>
              <w:rPr>
                <w:highlight w:val="white"/>
              </w:rPr>
              <w:t xml:space="preserve">В соответствии с техническим заданием, являющимся приложением № 4 к настоящему Извещению.</w:t>
            </w:r>
            <w:bookmarkEnd w:id="25"/>
            <w:r/>
            <w:bookmarkEnd w:id="26"/>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r>
              <w:rPr>
                <w:highlight w:val="white"/>
              </w:rPr>
            </w:r>
          </w:p>
          <w:p>
            <w:pPr>
              <w:rPr>
                <w:highlight w:val="white"/>
              </w:rPr>
            </w:pPr>
            <w:r>
              <w:rPr>
                <w:highlight w:val="white"/>
              </w:rPr>
              <w:t xml:space="preserve">Извещения </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6"/>
                  <w:color w:val="000000" w:themeColor="text1"/>
                  <w:highlight w:val="white"/>
                </w:rPr>
                <w:t xml:space="preserve">www.</w:t>
              </w:r>
              <w:r>
                <w:rPr>
                  <w:rStyle w:val="1136"/>
                  <w:color w:val="000000" w:themeColor="text1"/>
                  <w:highlight w:val="white"/>
                  <w:lang w:val="en-US"/>
                </w:rPr>
                <w:t xml:space="preserve">tender</w:t>
              </w:r>
              <w:r>
                <w:rPr>
                  <w:rStyle w:val="1136"/>
                  <w:color w:val="000000" w:themeColor="text1"/>
                  <w:highlight w:val="white"/>
                </w:rPr>
                <w:t xml:space="preserve">.</w:t>
              </w:r>
              <w:r>
                <w:rPr>
                  <w:rStyle w:val="1136"/>
                  <w:color w:val="000000" w:themeColor="text1"/>
                  <w:highlight w:val="white"/>
                  <w:lang w:val="en-US"/>
                </w:rPr>
                <w:t xml:space="preserve">lot</w:t>
              </w:r>
              <w:r>
                <w:rPr>
                  <w:rStyle w:val="1136"/>
                  <w:color w:val="000000" w:themeColor="text1"/>
                  <w:highlight w:val="white"/>
                </w:rPr>
                <w:t xml:space="preserve">-</w:t>
              </w:r>
              <w:r>
                <w:rPr>
                  <w:rStyle w:val="1136"/>
                  <w:color w:val="000000" w:themeColor="text1"/>
                  <w:highlight w:val="white"/>
                  <w:lang w:val="en-US"/>
                </w:rPr>
                <w:t xml:space="preserve">online</w:t>
              </w:r>
              <w:r>
                <w:rPr>
                  <w:rStyle w:val="1136"/>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w:t>
            </w:r>
            <w:r>
              <w:rPr>
                <w:color w:val="000000" w:themeColor="text1"/>
                <w:highlight w:val="white"/>
              </w:rPr>
              <w:t xml:space="preserve">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6"/>
                  <w:color w:val="000000" w:themeColor="text1"/>
                  <w:highlight w:val="white"/>
                  <w:lang w:val="en-US"/>
                </w:rPr>
                <w:t xml:space="preserve">www</w:t>
              </w:r>
              <w:r>
                <w:rPr>
                  <w:rStyle w:val="1136"/>
                  <w:color w:val="000000" w:themeColor="text1"/>
                  <w:highlight w:val="white"/>
                </w:rPr>
                <w:t xml:space="preserve">.</w:t>
              </w:r>
              <w:r>
                <w:rPr>
                  <w:rStyle w:val="1136"/>
                  <w:color w:val="000000" w:themeColor="text1"/>
                  <w:highlight w:val="white"/>
                  <w:lang w:val="en-US"/>
                </w:rPr>
                <w:t xml:space="preserve">rossetimr</w:t>
              </w:r>
              <w:r>
                <w:rPr>
                  <w:rStyle w:val="1136"/>
                  <w:color w:val="000000" w:themeColor="text1"/>
                  <w:highlight w:val="white"/>
                </w:rPr>
                <w:t xml:space="preserve">.</w:t>
              </w:r>
              <w:r>
                <w:rPr>
                  <w:rStyle w:val="1136"/>
                  <w:color w:val="000000" w:themeColor="text1"/>
                  <w:highlight w:val="white"/>
                  <w:lang w:val="en-US"/>
                </w:rPr>
                <w:t xml:space="preserve">ru</w:t>
              </w:r>
            </w:hyperlink>
            <w:r>
              <w:rPr>
                <w:color w:val="000000" w:themeColor="text1"/>
                <w:highlight w:val="white"/>
              </w:rPr>
              <w:t xml:space="preserve"> в разделе Закупки,</w:t>
            </w:r>
            <w:r>
              <w:rPr>
                <w:color w:val="000000" w:themeColor="text1"/>
                <w:highlight w:val="white"/>
              </w:rPr>
              <w:t xml:space="preserve">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bookmarkStart w:id="28" w:name="_Toc536605206"/>
            <w:r/>
            <w:bookmarkStart w:id="29" w:name="_Toc536624530"/>
            <w:r>
              <w:rPr>
                <w:color w:val="000000" w:themeColor="text1"/>
                <w:highlight w:val="white"/>
              </w:rPr>
              <w:t xml:space="preserve">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bookmarkEnd w:id="27"/>
            <w:r/>
            <w:bookmarkEnd w:id="28"/>
            <w:r>
              <w:rPr>
                <w:b/>
                <w:color w:val="000000" w:themeColor="text1"/>
                <w:highlight w:val="white"/>
              </w:rPr>
            </w:r>
            <w:r>
              <w:rPr>
                <w:b/>
                <w:color w:val="000000" w:themeColor="text1"/>
                <w:highlight w:val="white"/>
              </w:rPr>
            </w:r>
          </w:p>
          <w:p>
            <w:pPr>
              <w:jc w:val="both"/>
              <w:rPr>
                <w:color w:val="000000" w:themeColor="text1"/>
                <w:highlight w:val="white"/>
              </w:rPr>
            </w:pPr>
            <w:r/>
            <w:bookmarkStart w:id="30" w:name="_Toc536605207"/>
            <w:r/>
            <w:bookmarkStart w:id="31"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 xml:space="preserve">до 23 час. 59 мин. «0</w:t>
            </w:r>
            <w:r>
              <w:rPr>
                <w:b/>
                <w:color w:val="000000" w:themeColor="text1"/>
                <w:highlight w:val="white"/>
                <w:lang w:val="en-US"/>
              </w:rPr>
              <w:t xml:space="preserve">8</w:t>
            </w:r>
            <w:r>
              <w:rPr>
                <w:b/>
                <w:color w:val="000000" w:themeColor="text1"/>
                <w:highlight w:val="white"/>
              </w:rPr>
              <w:t xml:space="preserve">» июля 2026 г.</w:t>
            </w:r>
            <w:bookmarkEnd w:id="29"/>
            <w:r/>
            <w:bookmarkEnd w:id="30"/>
            <w:r>
              <w:rPr>
                <w:b/>
                <w:color w:val="000000" w:themeColor="text1"/>
                <w:highlight w:val="white"/>
              </w:rPr>
              <w:t xml:space="preserve"> </w:t>
            </w:r>
            <w:r>
              <w:rPr>
                <w:color w:val="000000" w:themeColor="text1"/>
                <w:highlight w:val="white"/>
              </w:rPr>
            </w:r>
            <w:r>
              <w:rPr>
                <w:color w:val="000000" w:themeColor="text1"/>
                <w:highlight w:val="white"/>
              </w:rPr>
            </w:r>
          </w:p>
          <w:p>
            <w:pPr>
              <w:jc w:val="both"/>
              <w:rPr>
                <w:color w:val="000000" w:themeColor="text1"/>
                <w:highlight w:val="white"/>
              </w:rPr>
            </w:pPr>
            <w:r/>
            <w:bookmarkStart w:id="32" w:name="_Toc536605208"/>
            <w:r/>
            <w:bookmarkStart w:id="33" w:name="_Toc536624532"/>
            <w:r>
              <w:rPr>
                <w:color w:val="000000" w:themeColor="text1"/>
                <w:highlight w:val="white"/>
              </w:rPr>
              <w:t xml:space="preserve">Организатор Запроса цен вправе не отвечать на запросы, поступившие позднее срока, установленного в настоящем пункте.</w:t>
            </w:r>
            <w:bookmarkEnd w:id="31"/>
            <w:r/>
            <w:bookmarkEnd w:id="32"/>
            <w:r>
              <w:rPr>
                <w:color w:val="000000" w:themeColor="text1"/>
                <w:highlight w:val="white"/>
              </w:rPr>
            </w:r>
            <w:r>
              <w:rPr>
                <w:color w:val="000000" w:themeColor="text1"/>
                <w:highlight w:val="white"/>
              </w:rPr>
            </w:r>
          </w:p>
          <w:p>
            <w:pPr>
              <w:jc w:val="both"/>
              <w:rPr>
                <w:color w:val="000000" w:themeColor="text1"/>
                <w:highlight w:val="white"/>
              </w:rPr>
            </w:pPr>
            <w:r/>
            <w:bookmarkStart w:id="34" w:name="_Toc536605209"/>
            <w:r/>
            <w:bookmarkStart w:id="35" w:name="_Toc536624533"/>
            <w:r>
              <w:rPr>
                <w:color w:val="000000" w:themeColor="text1"/>
                <w:highlight w:val="white"/>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3"/>
            <w:r/>
            <w:bookmarkEnd w:id="34"/>
            <w:r>
              <w:rPr>
                <w:color w:val="000000" w:themeColor="text1"/>
                <w:highlight w:val="white"/>
              </w:rPr>
            </w:r>
            <w:r>
              <w:rPr>
                <w:color w:val="000000" w:themeColor="text1"/>
                <w:highlight w:val="white"/>
              </w:rPr>
            </w:r>
          </w:p>
          <w:p>
            <w:pPr>
              <w:jc w:val="both"/>
              <w:rPr>
                <w:color w:val="000000" w:themeColor="text1"/>
                <w:highlight w:val="white"/>
              </w:rPr>
            </w:pPr>
            <w:r/>
            <w:bookmarkStart w:id="36" w:name="_Toc536605210"/>
            <w:r/>
            <w:bookmarkStart w:id="37" w:name="_Toc536624534"/>
            <w:r>
              <w:rPr>
                <w:color w:val="000000" w:themeColor="text1"/>
                <w:highlight w:val="white"/>
              </w:rPr>
              <w:t xml:space="preserve">Запросы разъяснений, направленные иным способом, не рассматриваются и ответы на них не предоставляются.</w:t>
            </w:r>
            <w:bookmarkEnd w:id="35"/>
            <w:r/>
            <w:bookmarkEnd w:id="36"/>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18</w:t>
            </w:r>
            <w:r>
              <w:rPr>
                <w:highlight w:val="white"/>
              </w:rPr>
            </w:r>
            <w:r>
              <w:rPr>
                <w:highlight w:val="white"/>
              </w:rPr>
            </w:r>
          </w:p>
        </w:tc>
        <w:tc>
          <w:tcPr>
            <w:tcW w:w="1387" w:type="pct"/>
            <w:vAlign w:val="center"/>
            <w:textDirection w:val="lrTb"/>
            <w:noWrap w:val="false"/>
          </w:tcPr>
          <w:p>
            <w:pPr>
              <w:rPr>
                <w:highlight w:val="white"/>
              </w:rPr>
            </w:pPr>
            <w:r/>
            <w:bookmarkStart w:id="38" w:name="_Toc536624535"/>
            <w:r>
              <w:rPr>
                <w:highlight w:val="white"/>
              </w:rPr>
              <w:t xml:space="preserve">Отмена закупки</w:t>
            </w:r>
            <w:bookmarkEnd w:id="37"/>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r>
              <w:rPr>
                <w:highlight w:val="white"/>
              </w:rPr>
            </w:r>
          </w:p>
        </w:tc>
        <w:tc>
          <w:tcPr>
            <w:tcW w:w="1387" w:type="pct"/>
            <w:vAlign w:val="center"/>
            <w:textDirection w:val="lrTb"/>
            <w:noWrap w:val="false"/>
          </w:tcPr>
          <w:p>
            <w:pPr>
              <w:rPr>
                <w:highlight w:val="white"/>
              </w:rPr>
            </w:pPr>
            <w:r/>
            <w:bookmarkStart w:id="39" w:name="_Toc536605212"/>
            <w:r/>
            <w:bookmarkStart w:id="40" w:name="_Toc536624536"/>
            <w:r>
              <w:rPr>
                <w:highlight w:val="white"/>
              </w:rPr>
              <w:t xml:space="preserve">Порядок и срок отзыва заявок на участие, порядок внесения изменений в поданную заявку</w:t>
            </w:r>
            <w:bookmarkEnd w:id="38"/>
            <w:r/>
            <w:bookmarkEnd w:id="39"/>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r>
              <w:rPr>
                <w:rFonts w:eastAsia="MS Mincho"/>
                <w:b/>
                <w:color w:val="000000" w:themeColor="text1"/>
                <w:highlight w:val="white"/>
              </w:rPr>
              <w:t xml:space="preserve">.</w:t>
            </w:r>
            <w:r>
              <w:rPr>
                <w:b/>
                <w:color w:val="000000" w:themeColor="text1"/>
                <w:highlight w:val="white"/>
              </w:rPr>
            </w:r>
            <w:r>
              <w:rPr>
                <w:b/>
                <w:color w:val="000000" w:themeColor="text1"/>
                <w:highlight w:val="white"/>
              </w:rPr>
            </w:r>
          </w:p>
          <w:p>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b/>
                <w:color w:val="000000" w:themeColor="text1"/>
                <w:highlight w:val="white"/>
              </w:rPr>
              <w:t xml:space="preserve">.</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bookmarkStart w:id="41" w:name="_GoBack"/>
            <w:r/>
            <w:bookmarkEnd w:id="41"/>
            <w:r>
              <w:rPr>
                <w:highlight w:val="white"/>
              </w:rPr>
              <w:t xml:space="preserve">21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r>
              <w:rPr>
                <w:highlight w:val="white"/>
              </w:rPr>
            </w:r>
          </w:p>
        </w:tc>
        <w:tc>
          <w:tcPr>
            <w:tcW w:w="3306" w:type="pct"/>
            <w:vAlign w:val="center"/>
            <w:textDirection w:val="lrTb"/>
            <w:noWrap w:val="false"/>
          </w:tcPr>
          <w:p>
            <w:pPr>
              <w:jc w:val="both"/>
              <w:rPr>
                <w:b/>
                <w:bCs/>
                <w:highlight w:val="white"/>
              </w:rPr>
            </w:pPr>
            <w:r>
              <w:rPr>
                <w:b/>
                <w:bCs/>
                <w:highlight w:val="white"/>
              </w:rPr>
            </w:r>
            <w:r>
              <w:rPr>
                <w:b/>
                <w:bCs/>
                <w:highlight w:val="white"/>
              </w:rPr>
            </w:r>
            <w:r>
              <w:rPr>
                <w:b/>
                <w:bCs/>
                <w:highlight w:val="white"/>
              </w:rPr>
            </w:r>
          </w:p>
          <w:p>
            <w:pPr>
              <w:jc w:val="both"/>
              <w:rPr>
                <w:b/>
                <w:bCs/>
                <w:highlight w:val="white"/>
              </w:rPr>
            </w:pPr>
            <w:r>
              <w:rPr>
                <w:b/>
                <w:highlight w:val="white"/>
              </w:rPr>
              <w:t xml:space="preserve">Не предусмотрена. </w:t>
            </w:r>
            <w:r>
              <w:rPr>
                <w:b/>
                <w:bCs/>
                <w:highlight w:val="white"/>
              </w:rPr>
            </w:r>
            <w:r>
              <w:rPr>
                <w:b/>
                <w:bCs/>
                <w:highlight w:val="white"/>
              </w:rPr>
            </w:r>
          </w:p>
          <w:p>
            <w:pPr>
              <w:jc w:val="both"/>
              <w:rPr>
                <w:b/>
                <w:color w:val="000000" w:themeColor="text1"/>
                <w:highlight w:val="white"/>
              </w:rPr>
            </w:pPr>
            <w:r>
              <w:rPr>
                <w:b/>
                <w:color w:val="000000" w:themeColor="text1"/>
                <w:highlight w:val="white"/>
              </w:rPr>
            </w: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 xml:space="preserve">21:00  «16»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p>
            <w:pPr>
              <w:jc w:val="both"/>
              <w:rPr>
                <w:color w:val="000000" w:themeColor="text1"/>
                <w:highlight w:val="white"/>
              </w:rPr>
            </w:pPr>
            <w:r/>
            <w:bookmarkStart w:id="42" w:name="_Toc422209971"/>
            <w:r/>
            <w:bookmarkStart w:id="43" w:name="_Toc422226791"/>
            <w:r/>
            <w:bookmarkStart w:id="44" w:name="_Toc422244143"/>
            <w:r>
              <w:rPr>
                <w:color w:val="000000" w:themeColor="text1"/>
                <w:highlight w:val="white"/>
              </w:rPr>
              <w:t xml:space="preserve">2) Подведение итогов состоится: </w:t>
            </w:r>
            <w:bookmarkEnd w:id="40"/>
            <w:r/>
            <w:bookmarkEnd w:id="42"/>
            <w:r/>
            <w:bookmarkEnd w:id="43"/>
            <w:r>
              <w:rPr>
                <w:color w:val="000000" w:themeColor="text1"/>
                <w:highlight w:val="white"/>
              </w:rPr>
              <w:t xml:space="preserve">не позднее </w:t>
            </w:r>
            <w:r>
              <w:rPr>
                <w:b/>
                <w:color w:val="000000" w:themeColor="text1"/>
                <w:highlight w:val="white"/>
              </w:rPr>
              <w:t xml:space="preserve">21:00</w:t>
            </w:r>
            <w:r>
              <w:rPr>
                <w:b/>
                <w:color w:val="000000" w:themeColor="text1"/>
                <w:highlight w:val="white"/>
              </w:rPr>
              <w:br w:type="textWrapping" w:clear="all"/>
              <w:t xml:space="preserve">«16»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национального режима закупок товаров российского происхождения, работ, ус</w:t>
            </w:r>
            <w:r>
              <w:rPr>
                <w:highlight w:val="white"/>
              </w:rPr>
              <w:t xml:space="preserve">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Случаи предоставления обеспечения по договору указаны в Приложении №6 «Условия выбора финансового обеспечения» к Извещению.</w:t>
            </w:r>
            <w:r>
              <w:rPr>
                <w:highlight w:val="white"/>
              </w:rPr>
            </w:r>
            <w:r>
              <w:rPr>
                <w:highlight w:val="white"/>
              </w:rP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участие в закупке</w:t>
            </w:r>
            <w:bookmarkEnd w:id="44"/>
            <w:r/>
            <w:bookmarkEnd w:id="45"/>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Pr>
                <w:highlight w:val="white"/>
              </w:rPr>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запроса цен. Инструкция по подготовке заявок участниками.</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r>
        <w:rPr>
          <w:sz w:val="28"/>
          <w:szCs w:val="28"/>
          <w:highlight w:val="white"/>
        </w:rPr>
      </w:r>
    </w:p>
    <w:p>
      <w:pPr>
        <w:pStyle w:val="967"/>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1139"/>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r>
        <w:rPr>
          <w:highlight w:val="white"/>
        </w:rPr>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r>
        <w:rPr>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w:t>
      </w:r>
      <w:r>
        <w:rPr>
          <w:bCs w:val="0"/>
          <w:szCs w:val="24"/>
          <w:highlight w:val="white"/>
        </w:rPr>
        <w:t xml:space="preserve">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r>
        <w:rPr>
          <w:bCs w:val="0"/>
          <w:highlight w:val="white"/>
        </w:rPr>
      </w:r>
    </w:p>
    <w:p>
      <w:pPr>
        <w:pStyle w:val="1197"/>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r>
        <w:rPr>
          <w:szCs w:val="24"/>
          <w:highlight w:val="white"/>
          <w:shd w:val="clear" w:color="auto" w:fill="ffff99"/>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Pr>
          <w:sz w:val="24"/>
          <w:szCs w:val="24"/>
          <w:highlight w:val="white"/>
        </w:rPr>
      </w:r>
      <w:r>
        <w:rPr>
          <w:sz w:val="24"/>
          <w:szCs w:val="24"/>
          <w:highlight w:val="white"/>
        </w:rPr>
      </w:r>
    </w:p>
    <w:p>
      <w:pPr>
        <w:pStyle w:val="1198"/>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r>
        <w:rPr>
          <w:sz w:val="24"/>
          <w:szCs w:val="24"/>
          <w:highlight w:val="white"/>
        </w:rPr>
      </w:r>
    </w:p>
    <w:p>
      <w:pPr>
        <w:pStyle w:val="1198"/>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Pr>
          <w:sz w:val="24"/>
          <w:szCs w:val="24"/>
          <w:highlight w:val="white"/>
          <w:u w:val="single"/>
        </w:rPr>
      </w:r>
      <w:r>
        <w:rPr>
          <w:sz w:val="24"/>
          <w:szCs w:val="24"/>
          <w:highlight w:val="white"/>
          <w:u w:val="single"/>
        </w:rPr>
      </w:r>
    </w:p>
    <w:p>
      <w:pPr>
        <w:pStyle w:val="1197"/>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w:t>
      </w:r>
      <w:r>
        <w:rPr>
          <w:szCs w:val="24"/>
          <w:highlight w:val="white"/>
        </w:rPr>
      </w:r>
      <w:r>
        <w:rPr>
          <w:szCs w:val="24"/>
          <w:highlight w:val="white"/>
        </w:rPr>
      </w:r>
    </w:p>
    <w:p>
      <w:pPr>
        <w:pStyle w:val="1197"/>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r>
        <w:rPr>
          <w:szCs w:val="24"/>
          <w:highlight w:val="white"/>
        </w:rPr>
      </w:r>
    </w:p>
    <w:p>
      <w:pPr>
        <w:pStyle w:val="1197"/>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w:t>
      </w:r>
      <w:r>
        <w:rPr>
          <w:szCs w:val="24"/>
          <w:highlight w:val="white"/>
        </w:rPr>
        <w:t xml:space="preserve">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выполнение работ «Под ключ» по высоковольтным объектам</w:t>
      </w:r>
      <w:r>
        <w:rPr>
          <w:highlight w:val="white"/>
        </w:rPr>
        <w:t xml:space="preserve">)</w:t>
      </w:r>
      <w:r>
        <w:rPr>
          <w:highlight w:val="white"/>
        </w:rPr>
      </w:r>
      <w:r>
        <w:rPr>
          <w:highlight w:val="white"/>
        </w:rPr>
      </w:r>
    </w:p>
    <w:p>
      <w:pPr>
        <w:pStyle w:val="1197"/>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r>
        <w:rPr>
          <w:highlight w:val="white"/>
        </w:rPr>
      </w:r>
    </w:p>
    <w:p>
      <w:pPr>
        <w:pStyle w:val="967"/>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w:t>
      </w:r>
      <w:r>
        <w:rPr>
          <w:rFonts w:ascii="Times New Roman" w:hAnsi="Times New Roman" w:cs="Times New Roman"/>
          <w:b w:val="0"/>
          <w:i w:val="0"/>
          <w:sz w:val="24"/>
          <w:szCs w:val="24"/>
          <w:highlight w:val="white"/>
        </w:rPr>
        <w:t xml:space="preserve">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w:t>
      </w:r>
      <w:r>
        <w:rPr>
          <w:rFonts w:ascii="Times New Roman" w:hAnsi="Times New Roman" w:cs="Times New Roman"/>
          <w:b w:val="0"/>
          <w:i w:val="0"/>
          <w:sz w:val="24"/>
          <w:szCs w:val="24"/>
          <w:highlight w:val="white"/>
        </w:rPr>
        <w:t xml:space="preserve">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Pr>
          <w:rFonts w:ascii="Times New Roman" w:hAnsi="Times New Roman" w:cs="Times New Roman"/>
          <w:b w:val="0"/>
          <w:i w:val="0"/>
          <w:sz w:val="24"/>
          <w:szCs w:val="24"/>
          <w:highlight w:val="white"/>
        </w:rPr>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r>
              <w:rPr>
                <w:b/>
                <w:highlight w:val="white"/>
              </w:rPr>
            </w:r>
          </w:p>
          <w:p>
            <w:pPr>
              <w:jc w:val="center"/>
              <w:rPr>
                <w:b/>
                <w:highlight w:val="white"/>
              </w:rPr>
            </w:pPr>
            <w:r>
              <w:rPr>
                <w:b/>
                <w:highlight w:val="white"/>
              </w:rPr>
              <w:t xml:space="preserve">(гр. 2 х гр. 3)</w:t>
            </w:r>
            <w:r>
              <w:rPr>
                <w:b/>
                <w:highlight w:val="white"/>
              </w:rPr>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r>
              <w:rPr>
                <w:highlight w:val="white"/>
              </w:rPr>
            </w:r>
          </w:p>
        </w:tc>
      </w:tr>
    </w:tbl>
    <w:p>
      <w:pPr>
        <w:pStyle w:val="1197"/>
        <w:ind w:firstLine="993"/>
        <w:tabs>
          <w:tab w:val="left" w:pos="993" w:leader="none"/>
        </w:tabs>
        <w:rPr>
          <w:highlight w:val="white"/>
        </w:rPr>
      </w:pPr>
      <w:r>
        <w:rPr>
          <w:highlight w:val="white"/>
        </w:rPr>
      </w:r>
      <w:r>
        <w:rPr>
          <w:highlight w:val="white"/>
        </w:rPr>
      </w:r>
      <w:r>
        <w:rPr>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право в соответствии с законо</w:t>
      </w:r>
      <w:r>
        <w:rPr>
          <w:sz w:val="24"/>
          <w:szCs w:val="24"/>
          <w:highlight w:val="white"/>
        </w:rPr>
        <w:t xml:space="preserve">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4"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w:t>
      </w:r>
      <w:r>
        <w:rPr>
          <w:bCs/>
          <w:sz w:val="24"/>
          <w:szCs w:val="24"/>
          <w:highlight w:val="white"/>
        </w:rPr>
        <w:t xml:space="preserve">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w:t>
      </w:r>
      <w:r>
        <w:rPr>
          <w:sz w:val="24"/>
          <w:szCs w:val="24"/>
          <w:highlight w:val="white"/>
        </w:rPr>
        <w:t xml:space="preserve">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основанием для отклонения Заявки.</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Pr>
          <w:sz w:val="24"/>
          <w:szCs w:val="24"/>
          <w:highlight w:val="white"/>
        </w:rPr>
      </w:r>
      <w:r>
        <w:rPr>
          <w:sz w:val="24"/>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w:t>
      </w:r>
      <w:r>
        <w:rPr>
          <w:szCs w:val="24"/>
          <w:highlight w:val="white"/>
        </w:rPr>
        <w:t xml:space="preserve">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Pr>
          <w:sz w:val="24"/>
          <w:szCs w:val="24"/>
          <w:highlight w:val="white"/>
        </w:rPr>
      </w:r>
      <w:r>
        <w:rPr>
          <w:sz w:val="24"/>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исключением нижеследующего.</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w:t>
      </w:r>
      <w:r>
        <w:rPr>
          <w:szCs w:val="24"/>
          <w:highlight w:val="white"/>
        </w:rPr>
        <w:t xml:space="preserve">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изменении официального курса валюты.</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Pr>
          <w:sz w:val="24"/>
          <w:szCs w:val="24"/>
          <w:highlight w:val="white"/>
        </w:rPr>
      </w:r>
      <w:r>
        <w:rPr>
          <w:sz w:val="24"/>
          <w:szCs w:val="24"/>
          <w:highlight w:val="white"/>
        </w:rPr>
      </w:r>
    </w:p>
    <w:p>
      <w:pPr>
        <w:pStyle w:val="1167"/>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Pr>
          <w:highlight w:val="white"/>
        </w:rPr>
      </w:r>
      <w:r>
        <w:rPr>
          <w:highlight w:val="white"/>
        </w:rPr>
      </w:r>
    </w:p>
    <w:p>
      <w:pPr>
        <w:pStyle w:val="1167"/>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Pr>
          <w:highlight w:val="white"/>
        </w:rPr>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Pr>
          <w:highlight w:val="white"/>
        </w:rPr>
      </w:r>
      <w:r>
        <w:rPr>
          <w:highlight w:val="white"/>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w:t>
      </w:r>
      <w:r>
        <w:rPr>
          <w:sz w:val="24"/>
          <w:szCs w:val="24"/>
          <w:highlight w:val="white"/>
        </w:rPr>
        <w:t xml:space="preserve">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Организатором Запроса цен в соответствии с этим.</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r>
        <w:rPr>
          <w:bCs/>
          <w:highlight w:val="white"/>
        </w:rPr>
      </w:r>
    </w:p>
    <w:p>
      <w:pPr>
        <w:ind w:left="567"/>
        <w:jc w:val="both"/>
        <w:widowControl w:val="off"/>
        <w:rPr>
          <w:bCs/>
          <w:highlight w:val="white"/>
        </w:rPr>
      </w:pPr>
      <w:r>
        <w:rPr>
          <w:bCs/>
          <w:highlight w:val="white"/>
        </w:rPr>
      </w:r>
      <w:r>
        <w:rPr>
          <w:bCs/>
          <w:highlight w:val="white"/>
        </w:rPr>
      </w:r>
      <w:r>
        <w:rPr>
          <w:bCs/>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w:t>
      </w:r>
      <w:r>
        <w:rPr>
          <w:sz w:val="24"/>
          <w:szCs w:val="24"/>
          <w:highlight w:val="white"/>
        </w:rP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xml:space="preserve">.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r>
        <w:rPr>
          <w:sz w:val="24"/>
          <w:szCs w:val="24"/>
          <w:highlight w:val="white"/>
        </w:rPr>
      </w:r>
    </w:p>
    <w:p>
      <w:pPr>
        <w:pStyle w:val="1214"/>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Pr>
          <w:bCs/>
          <w:sz w:val="24"/>
          <w:szCs w:val="24"/>
          <w:highlight w:val="white"/>
        </w:rPr>
      </w:r>
      <w:r>
        <w:rPr>
          <w:bCs/>
          <w:sz w:val="24"/>
          <w:szCs w:val="24"/>
          <w:highlight w:val="white"/>
        </w:rPr>
      </w:r>
    </w:p>
    <w:p>
      <w:pPr>
        <w:pStyle w:val="1214"/>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 xml:space="preserve">г. Москвы</w:t>
      </w:r>
      <w:r>
        <w:rPr>
          <w:sz w:val="24"/>
          <w:szCs w:val="24"/>
          <w:highlight w:val="white"/>
        </w:rPr>
        <w:t xml:space="preserve">. </w:t>
      </w:r>
      <w:r>
        <w:rPr>
          <w:highlight w:val="white"/>
        </w:rPr>
      </w:r>
      <w:r>
        <w:rPr>
          <w:highlight w:val="white"/>
        </w:rPr>
      </w:r>
    </w:p>
    <w:p>
      <w:pPr>
        <w:pStyle w:val="1214"/>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r>
        <w:rPr>
          <w:sz w:val="24"/>
          <w:szCs w:val="24"/>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«Россети Московский регион» действует антикоррупционный станда</w:t>
      </w:r>
      <w:r>
        <w:rPr>
          <w:sz w:val="24"/>
          <w:szCs w:val="24"/>
          <w:highlight w:val="white"/>
        </w:rPr>
        <w:t xml:space="preserve">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r>
        <w:rPr>
          <w:sz w:val="24"/>
          <w:szCs w:val="24"/>
          <w:highlight w:val="white"/>
        </w:rPr>
      </w:r>
      <w:r>
        <w:rPr>
          <w:sz w:val="24"/>
          <w:szCs w:val="24"/>
          <w:highlight w:val="white"/>
        </w:rPr>
      </w:r>
    </w:p>
    <w:p>
      <w:pPr>
        <w:pStyle w:val="967"/>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w:t>
      </w:r>
      <w:r>
        <w:rPr>
          <w:sz w:val="24"/>
          <w:szCs w:val="24"/>
          <w:highlight w:val="white"/>
        </w:rPr>
        <w:t xml:space="preserve">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w:t>
      </w:r>
      <w:r>
        <w:rPr>
          <w:sz w:val="24"/>
          <w:szCs w:val="24"/>
          <w:highlight w:val="white"/>
        </w:rPr>
        <w:t xml:space="preserve">.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r>
        <w:rPr>
          <w:sz w:val="24"/>
          <w:szCs w:val="24"/>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w:t>
      </w:r>
      <w:r>
        <w:rPr>
          <w:sz w:val="24"/>
          <w:szCs w:val="24"/>
          <w:highlight w:val="white"/>
        </w:rPr>
        <w:t xml:space="preserve">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w:t>
      </w:r>
      <w:r>
        <w:rPr>
          <w:sz w:val="24"/>
          <w:szCs w:val="24"/>
          <w:highlight w:val="white"/>
        </w:rPr>
        <w:t xml:space="preserve">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происходящему из иностранного госуда</w:t>
      </w:r>
      <w:r>
        <w:rPr>
          <w:sz w:val="24"/>
          <w:szCs w:val="24"/>
          <w:highlight w:val="white"/>
        </w:rPr>
        <w:t xml:space="preserve">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б) ограничение закупок товаров (в том числе поставляемых при </w:t>
      </w:r>
      <w:r>
        <w:rPr>
          <w:sz w:val="24"/>
          <w:szCs w:val="24"/>
          <w:highlight w:val="white"/>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w:t>
      </w:r>
      <w:r>
        <w:rPr>
          <w:sz w:val="24"/>
          <w:szCs w:val="24"/>
          <w:highlight w:val="white"/>
        </w:rPr>
        <w:t xml:space="preserve">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sz w:val="24"/>
          <w:szCs w:val="24"/>
          <w:highlight w:val="white"/>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происходящего из иностранного государства;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w:t>
      </w:r>
      <w:r>
        <w:rPr>
          <w:rFonts w:ascii="Times New Roman" w:hAnsi="Times New Roman" w:cs="Times New Roman"/>
          <w:b w:val="0"/>
          <w:bCs w:val="0"/>
          <w:sz w:val="24"/>
          <w:szCs w:val="24"/>
          <w:highlight w:val="white"/>
        </w:rPr>
        <w:t xml:space="preserve">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w:t>
      </w:r>
      <w:r>
        <w:rPr>
          <w:rFonts w:ascii="Times New Roman" w:hAnsi="Times New Roman" w:cs="Times New Roman"/>
          <w:b w:val="0"/>
          <w:bCs w:val="0"/>
          <w:sz w:val="24"/>
          <w:szCs w:val="24"/>
          <w:highlight w:val="white"/>
        </w:rPr>
        <w:t xml:space="preserve">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w:t>
      </w:r>
      <w:r>
        <w:rPr>
          <w:rFonts w:ascii="Times New Roman" w:hAnsi="Times New Roman" w:cs="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w:t>
      </w:r>
      <w:r>
        <w:rPr>
          <w:sz w:val="24"/>
          <w:szCs w:val="24"/>
          <w:highlight w:val="white"/>
        </w:rPr>
        <w:t xml:space="preserve">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w:t>
      </w:r>
      <w:r>
        <w:rPr>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w:t>
      </w:r>
      <w:r>
        <w:rPr>
          <w:rFonts w:ascii="Times New Roman" w:hAnsi="Times New Roman" w:cs="Times New Roman"/>
          <w:b w:val="0"/>
          <w:sz w:val="24"/>
          <w:szCs w:val="24"/>
          <w:highlight w:val="white"/>
        </w:rPr>
        <w:t xml:space="preserve">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Pr>
          <w:rFonts w:ascii="Times New Roman" w:hAnsi="Times New Roman" w:cs="Times New Roman"/>
          <w:b w:val="0"/>
          <w:sz w:val="24"/>
          <w:szCs w:val="24"/>
          <w:highlight w:val="white"/>
        </w:rPr>
      </w:r>
      <w:r>
        <w:rPr>
          <w:rFonts w:ascii="Times New Roman" w:hAnsi="Times New Roman" w:cs="Times New Roman"/>
          <w:b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w:t>
      </w:r>
      <w:r>
        <w:rPr>
          <w:sz w:val="24"/>
          <w:szCs w:val="24"/>
          <w:highlight w:val="white"/>
        </w:rPr>
        <w:t xml:space="preserve">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w:t>
      </w:r>
      <w:r>
        <w:rPr>
          <w:sz w:val="24"/>
          <w:szCs w:val="24"/>
          <w:highlight w:val="white"/>
        </w:rPr>
        <w:t xml:space="preserve">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w:t>
      </w:r>
      <w:r>
        <w:rPr>
          <w:sz w:val="24"/>
          <w:szCs w:val="24"/>
          <w:highlight w:val="white"/>
        </w:rPr>
        <w:t xml:space="preserve">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w:t>
      </w:r>
      <w:r>
        <w:rPr>
          <w:sz w:val="24"/>
          <w:szCs w:val="24"/>
          <w:highlight w:val="white"/>
        </w:rPr>
        <w:t xml:space="preserve">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w:t>
      </w:r>
      <w:r>
        <w:rPr>
          <w:sz w:val="24"/>
          <w:szCs w:val="24"/>
          <w:highlight w:val="white"/>
        </w:rPr>
        <w:t xml:space="preserve">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стадия</w:t>
      </w:r>
      <w:bookmarkEnd w:id="108"/>
      <w:r>
        <w:rPr>
          <w:rFonts w:ascii="Times New Roman" w:hAnsi="Times New Roman" w:cs="Times New Roman"/>
          <w:i w:val="0"/>
          <w:sz w:val="24"/>
          <w:szCs w:val="24"/>
          <w:highlight w:val="white"/>
        </w:rPr>
        <w:t xml:space="preserve">.</w:t>
      </w:r>
      <w:bookmarkEnd w:id="109"/>
      <w:r>
        <w:rPr>
          <w:highlight w:val="white"/>
        </w:rPr>
      </w:r>
      <w:r>
        <w:rPr>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заявки установленной НМЦ;</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w:t>
      </w:r>
      <w:r>
        <w:rPr>
          <w:sz w:val="24"/>
          <w:szCs w:val="24"/>
          <w:highlight w:val="white"/>
        </w:rPr>
        <w:t xml:space="preserve">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Участника в нечитаемом виде;</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r>
        <w:rPr>
          <w:sz w:val="24"/>
          <w:szCs w:val="24"/>
          <w:highlight w:val="white"/>
        </w:rPr>
        <w:t xml:space="preserve">(пп.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w:t>
      </w:r>
      <w:r>
        <w:rPr>
          <w:sz w:val="24"/>
          <w:szCs w:val="24"/>
          <w:highlight w:val="white"/>
        </w:rPr>
        <w:t xml:space="preserve">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w:t>
      </w:r>
      <w:r>
        <w:rPr>
          <w:sz w:val="24"/>
          <w:szCs w:val="24"/>
          <w:highlight w:val="white"/>
        </w:rPr>
        <w:t xml:space="preserve">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w:t>
      </w:r>
      <w:r>
        <w:rPr>
          <w:sz w:val="24"/>
          <w:szCs w:val="24"/>
          <w:highlight w:val="white"/>
        </w:rPr>
        <w:t xml:space="preserve">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82"/>
          <w:sz w:val="24"/>
          <w:szCs w:val="24"/>
          <w:highlight w:val="white"/>
        </w:rPr>
        <w:t xml:space="preserve">в следующих случаях</w:t>
      </w:r>
      <w:r>
        <w:rPr>
          <w:sz w:val="24"/>
          <w:szCs w:val="24"/>
          <w:highlight w:val="white"/>
        </w:rPr>
        <w:t xml:space="preserve">:</w:t>
      </w:r>
      <w:bookmarkEnd w:id="110"/>
      <w:r/>
      <w:bookmarkEnd w:id="111"/>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т.п;</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 или некорректного составления  документов, подт</w:t>
      </w:r>
      <w:r>
        <w:rPr>
          <w:sz w:val="24"/>
          <w:szCs w:val="24"/>
          <w:highlight w:val="white"/>
        </w:rPr>
        <w:t xml:space="preserve">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w:t>
      </w:r>
      <w:r>
        <w:rPr>
          <w:sz w:val="24"/>
          <w:szCs w:val="24"/>
          <w:highlight w:val="white"/>
        </w:rPr>
        <w:t xml:space="preserve">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w:t>
      </w:r>
      <w:r>
        <w:rPr>
          <w:sz w:val="24"/>
          <w:szCs w:val="24"/>
          <w:highlight w:val="white"/>
        </w:rPr>
        <w:t xml:space="preserve">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w:t>
      </w:r>
      <w:r>
        <w:rPr>
          <w:sz w:val="24"/>
          <w:szCs w:val="24"/>
          <w:highlight w:val="white"/>
        </w:rPr>
        <w:t xml:space="preserve">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w:t>
      </w:r>
      <w:r>
        <w:rPr>
          <w:sz w:val="24"/>
          <w:szCs w:val="24"/>
          <w:highlight w:val="white"/>
        </w:rPr>
        <w:t xml:space="preserve">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 грамматические ошибки, с исправлением которых не согласился Участник.</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w:t>
      </w:r>
      <w:r>
        <w:rPr>
          <w:sz w:val="24"/>
          <w:szCs w:val="24"/>
          <w:highlight w:val="white"/>
        </w:rPr>
        <w:t xml:space="preserve">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w:t>
      </w:r>
      <w:r>
        <w:rPr>
          <w:sz w:val="24"/>
          <w:szCs w:val="24"/>
          <w:highlight w:val="white"/>
        </w:rPr>
        <w:t xml:space="preserve">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w:t>
      </w:r>
      <w:r>
        <w:rPr>
          <w:sz w:val="24"/>
          <w:szCs w:val="24"/>
          <w:highlight w:val="white"/>
        </w:rPr>
        <w:t xml:space="preserve">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соответствующей требованиям извещения о закупке;</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договора будет выявлено, что решение Закупочной комиссии принято с наруше</w:t>
      </w:r>
      <w:r>
        <w:rPr>
          <w:sz w:val="24"/>
          <w:szCs w:val="24"/>
          <w:highlight w:val="white"/>
        </w:rPr>
        <w:t xml:space="preserve">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sz w:val="24"/>
          <w:szCs w:val="24"/>
          <w:highlight w:val="white"/>
        </w:rPr>
      </w:r>
      <w:r>
        <w:rPr>
          <w:sz w:val="24"/>
          <w:szCs w:val="24"/>
          <w:highlight w:val="white"/>
        </w:rPr>
      </w:r>
    </w:p>
    <w:p>
      <w:pPr>
        <w:pStyle w:val="1200"/>
        <w:numPr>
          <w:ilvl w:val="0"/>
          <w:numId w:val="0"/>
        </w:numPr>
        <w:spacing w:line="240" w:lineRule="auto"/>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w:t>
      </w:r>
      <w:r>
        <w:rPr>
          <w:sz w:val="24"/>
          <w:szCs w:val="24"/>
          <w:highlight w:val="white"/>
        </w:rPr>
        <w:t xml:space="preserve">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w:t>
      </w:r>
      <w:r>
        <w:rPr>
          <w:highlight w:val="white"/>
        </w:rPr>
        <w:t xml:space="preserve">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w:t>
      </w:r>
      <w:r>
        <w:rPr>
          <w:highlight w:val="white"/>
        </w:rPr>
        <w:t xml:space="preserve">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w:t>
      </w:r>
      <w:r>
        <w:rPr>
          <w:highlight w:val="white"/>
        </w:rPr>
        <w:t xml:space="preserve">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r>
        <w:rPr>
          <w:highlight w:val="white"/>
        </w:rPr>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w:t>
      </w:r>
      <w:r>
        <w:rPr>
          <w:highlight w:val="white"/>
        </w:rPr>
        <w:t xml:space="preserve">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w:t>
      </w:r>
      <w:r>
        <w:rPr>
          <w:iCs/>
          <w:highlight w:val="white"/>
        </w:rPr>
        <w:t xml:space="preserve">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Pr>
          <w:iCs/>
          <w:highlight w:val="white"/>
        </w:rPr>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w:t>
      </w:r>
      <w:r>
        <w:rPr>
          <w:highlight w:val="white"/>
        </w:rPr>
        <w:t xml:space="preserve">,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w:t>
      </w:r>
      <w:r>
        <w:rPr>
          <w:iCs/>
          <w:highlight w:val="white"/>
        </w:rPr>
        <w:t xml:space="preserve">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r>
        <w:rPr>
          <w:iCs/>
          <w:highlight w:val="white"/>
        </w:rPr>
      </w:r>
    </w:p>
    <w:p>
      <w:pPr>
        <w:pStyle w:val="1198"/>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r>
        <w:rPr>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только одна Заявка или не подано ни одной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Участника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исключением одной заявки.</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w:t>
      </w:r>
      <w:r>
        <w:rPr>
          <w:sz w:val="24"/>
          <w:szCs w:val="24"/>
          <w:highlight w:val="white"/>
        </w:rPr>
        <w:t xml:space="preserve">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r>
        <w:rPr>
          <w:sz w:val="24"/>
          <w:szCs w:val="24"/>
          <w:highlight w:val="white"/>
        </w:rPr>
      </w:r>
      <w:r>
        <w:rPr>
          <w:sz w:val="24"/>
          <w:szCs w:val="24"/>
          <w:highlight w:val="white"/>
        </w:rPr>
      </w:r>
    </w:p>
    <w:p>
      <w:pPr>
        <w:pStyle w:val="1213"/>
        <w:numPr>
          <w:ilvl w:val="0"/>
          <w:numId w:val="0"/>
        </w:numPr>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Пре</w:t>
      </w:r>
      <w:r>
        <w:rPr>
          <w:sz w:val="24"/>
          <w:szCs w:val="24"/>
          <w:highlight w:val="white"/>
        </w:rPr>
        <w:t xml:space="preserve">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w:t>
      </w:r>
      <w:r>
        <w:rPr>
          <w:sz w:val="24"/>
          <w:szCs w:val="24"/>
          <w:highlight w:val="white"/>
        </w:rPr>
        <w:t xml:space="preserve">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r>
        <w:rPr>
          <w:sz w:val="24"/>
          <w:szCs w:val="24"/>
          <w:highlight w:val="white"/>
        </w:rPr>
      </w:r>
    </w:p>
    <w:p>
      <w:pPr>
        <w:pStyle w:val="1213"/>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w:t>
      </w:r>
      <w:r>
        <w:rPr>
          <w:bCs/>
          <w:highlight w:val="white"/>
        </w:rPr>
        <w:t xml:space="preserve">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Pr>
          <w:bCs/>
          <w:highlight w:val="white"/>
        </w:rPr>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r>
        <w:rPr>
          <w:highlight w:val="white"/>
        </w:rPr>
      </w:r>
    </w:p>
    <w:p>
      <w:pPr>
        <w:ind w:left="567"/>
        <w:jc w:val="both"/>
        <w:widowControl w:val="off"/>
        <w:tabs>
          <w:tab w:val="left" w:pos="993" w:leader="none"/>
        </w:tabs>
        <w:rPr>
          <w:bCs/>
          <w:highlight w:val="white"/>
        </w:rPr>
      </w:pPr>
      <w:r>
        <w:rPr>
          <w:highlight w:val="white"/>
        </w:rPr>
        <w:t xml:space="preserve">б) непредоставления или предоставление с нарушением услови</w:t>
      </w:r>
      <w:r>
        <w:rPr>
          <w:highlight w:val="white"/>
        </w:rPr>
        <w:t xml:space="preserve">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r>
        <w:rPr>
          <w:bCs/>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случаев, определенных в</w:t>
      </w:r>
      <w:r>
        <w:rPr>
          <w:bCs/>
          <w:sz w:val="24"/>
          <w:szCs w:val="24"/>
          <w:highlight w:val="white"/>
        </w:rPr>
        <w:t xml:space="preserve">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7.1., 7.2. настоящего Приложения.</w:t>
      </w:r>
      <w:r>
        <w:rPr>
          <w:sz w:val="24"/>
          <w:szCs w:val="24"/>
          <w:highlight w:val="white"/>
        </w:rPr>
      </w:r>
      <w:r>
        <w:rPr>
          <w:sz w:val="24"/>
          <w:szCs w:val="24"/>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r>
        <w:rPr>
          <w:sz w:val="24"/>
          <w:szCs w:val="24"/>
          <w:highlight w:val="white"/>
        </w:rPr>
      </w:r>
    </w:p>
    <w:p>
      <w:pPr>
        <w:jc w:val="both"/>
        <w:widowControl w:val="off"/>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w:t>
      </w:r>
      <w:r>
        <w:rPr>
          <w:bCs/>
          <w:highlight w:val="white"/>
        </w:rPr>
        <w:t xml:space="preserve">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r>
        <w:rPr>
          <w:bCs/>
          <w:highlight w:val="white"/>
        </w:rPr>
      </w:r>
    </w:p>
    <w:p>
      <w:pPr>
        <w:jc w:val="both"/>
        <w:widowControl w:val="off"/>
        <w:tabs>
          <w:tab w:val="num" w:pos="1134" w:leader="none"/>
        </w:tabs>
        <w:rPr>
          <w:b/>
          <w:highlight w:val="white"/>
        </w:rPr>
      </w:pPr>
      <w:r>
        <w:rPr>
          <w:b/>
          <w:highlight w:val="white"/>
        </w:rPr>
      </w:r>
      <w:r>
        <w:rPr>
          <w:b/>
          <w:highlight w:val="white"/>
        </w:rPr>
      </w:r>
      <w:r>
        <w:rPr>
          <w:b/>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67"/>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w:t>
      </w:r>
      <w:r>
        <w:rPr>
          <w:highlight w:val="white"/>
        </w:rPr>
        <w:t xml:space="preserve">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w:t>
      </w:r>
      <w:r>
        <w:rPr>
          <w:highlight w:val="white"/>
        </w:rPr>
        <w:t xml:space="preserve">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r>
        <w:rPr>
          <w:highlight w:val="white"/>
        </w:rPr>
      </w:r>
    </w:p>
    <w:p>
      <w:pPr>
        <w:pStyle w:val="1197"/>
        <w:ind w:firstLine="0"/>
        <w:widowControl w:val="off"/>
        <w:tabs>
          <w:tab w:val="left" w:pos="1276" w:leader="none"/>
        </w:tabs>
        <w:rPr>
          <w:highlight w:val="white"/>
        </w:rPr>
      </w:pPr>
      <w:r>
        <w:rPr>
          <w:highlight w:val="white"/>
        </w:rPr>
      </w: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размера аванса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bl>
    <w:p>
      <w:pPr>
        <w:pStyle w:val="1197"/>
        <w:ind w:firstLine="0"/>
        <w:widowControl w:val="off"/>
        <w:tabs>
          <w:tab w:val="left" w:pos="1276" w:leader="none"/>
        </w:tabs>
        <w:rPr>
          <w:highlight w:val="white"/>
        </w:rPr>
      </w:pPr>
      <w:r>
        <w:rPr>
          <w:highlight w:val="white"/>
        </w:rPr>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r>
        <w:rPr>
          <w:highlight w:val="white"/>
        </w:rPr>
      </w:r>
    </w:p>
    <w:p>
      <w:pPr>
        <w:ind w:left="567"/>
        <w:jc w:val="both"/>
        <w:widowControl w:val="off"/>
        <w:tabs>
          <w:tab w:val="left" w:pos="1134" w:leader="none"/>
        </w:tabs>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w:t>
      </w:r>
      <w:r>
        <w:rPr>
          <w:rFonts w:ascii="Times New Roman" w:hAnsi="Times New Roman" w:cs="Times New Roman"/>
          <w:b w:val="0"/>
          <w:bCs w:val="0"/>
          <w:sz w:val="24"/>
          <w:szCs w:val="24"/>
          <w:highlight w:val="white"/>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w:t>
      </w:r>
      <w:r>
        <w:rPr>
          <w:rFonts w:ascii="Times New Roman" w:hAnsi="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Pr>
          <w:rFonts w:ascii="Times New Roman" w:hAnsi="Times New Roman"/>
          <w:b w:val="0"/>
          <w:sz w:val="24"/>
          <w:szCs w:val="24"/>
          <w:highlight w:val="white"/>
        </w:rPr>
      </w:r>
      <w:r>
        <w:rPr>
          <w:rFonts w:ascii="Times New Roman" w:hAnsi="Times New Roman"/>
          <w:b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w:t>
      </w:r>
      <w:r>
        <w:rPr>
          <w:rFonts w:ascii="Times New Roman" w:hAnsi="Times New Roman" w:cs="Times New Roman"/>
          <w:b w:val="0"/>
          <w:bCs w:val="0"/>
          <w:sz w:val="24"/>
          <w:szCs w:val="24"/>
          <w:highlight w:val="white"/>
        </w:rPr>
        <w:t xml:space="preserve">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w:t>
      </w:r>
      <w:r>
        <w:rPr>
          <w:rFonts w:ascii="Times New Roman" w:hAnsi="Times New Roman"/>
          <w:b w:val="0"/>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w:t>
      </w:r>
      <w:r>
        <w:rPr>
          <w:rFonts w:ascii="Times New Roman" w:hAnsi="Times New Roman" w:cs="Times New Roman"/>
          <w:b w:val="0"/>
          <w:bCs w:val="0"/>
          <w:sz w:val="24"/>
          <w:szCs w:val="24"/>
          <w:highlight w:val="white"/>
        </w:rPr>
        <w:t xml:space="preserve">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r>
        <w:rPr>
          <w:rFonts w:ascii="Times New Roman" w:hAnsi="Times New Roman" w:cs="Times New Roman"/>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r>
        <w:rPr>
          <w:b/>
          <w:highlight w:val="white"/>
        </w:rPr>
      </w:r>
    </w:p>
    <w:p>
      <w:pPr>
        <w:rPr>
          <w:b/>
          <w:highlight w:val="white"/>
        </w:rPr>
      </w:pPr>
      <w:r>
        <w:rPr>
          <w:b/>
          <w:highlight w:val="white"/>
        </w:rPr>
        <w:t xml:space="preserve">Письмо о подаче оферты</w:t>
      </w:r>
      <w:r>
        <w:rPr>
          <w:b/>
          <w:highlight w:val="white"/>
        </w:rPr>
      </w:r>
      <w:r>
        <w:rPr>
          <w:b/>
          <w:highlight w:val="white"/>
        </w:rPr>
      </w:r>
    </w:p>
    <w:p>
      <w:pPr>
        <w:jc w:val="both"/>
        <w:widowControl w:val="off"/>
        <w:rPr>
          <w:highlight w:val="white"/>
        </w:rPr>
      </w:pPr>
      <w:r>
        <w:rPr>
          <w:highlight w:val="white"/>
        </w:rPr>
      </w: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r>
              <w:rPr>
                <w:highlight w:val="white"/>
              </w:rPr>
            </w:r>
          </w:p>
          <w:p>
            <w:pPr>
              <w:rPr>
                <w:highlight w:val="white"/>
              </w:rPr>
            </w:pPr>
            <w:r>
              <w:rPr>
                <w:highlight w:val="white"/>
              </w:rPr>
              <w:t xml:space="preserve">«_____»__________года №______</w:t>
            </w:r>
            <w:r>
              <w:rPr>
                <w:highlight w:val="white"/>
              </w:rPr>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r>
              <w:rPr>
                <w:highlight w:val="white"/>
              </w:rPr>
            </w:r>
          </w:p>
          <w:p>
            <w:pPr>
              <w:rPr>
                <w:highlight w:val="white"/>
              </w:rPr>
            </w:pPr>
            <w:r>
              <w:rPr>
                <w:highlight w:val="white"/>
              </w:rPr>
              <w:t xml:space="preserve">____________________________________</w:t>
            </w:r>
            <w:r>
              <w:rPr>
                <w:highlight w:val="white"/>
              </w:rPr>
            </w:r>
            <w:r>
              <w:rPr>
                <w:highlight w:val="white"/>
              </w:rPr>
            </w:r>
          </w:p>
        </w:tc>
      </w:tr>
    </w:tbl>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7"/>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r>
            <w:r>
              <w:rPr>
                <w:highlight w:val="white"/>
              </w:rPr>
            </w:r>
          </w:p>
          <w:p>
            <w:pPr>
              <w:pStyle w:val="1167"/>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r>
              <w:rPr>
                <w:highlight w:val="white"/>
              </w:rPr>
            </w:r>
          </w:p>
          <w:p>
            <w:pPr>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r>
              <w:rPr>
                <w:highlight w:val="white"/>
              </w:rPr>
            </w:r>
          </w:p>
        </w:tc>
      </w:tr>
    </w:tbl>
    <w:p>
      <w:pPr>
        <w:ind w:left="709"/>
        <w:jc w:val="both"/>
        <w:widowControl w:val="off"/>
        <w:rPr>
          <w:highlight w:val="white"/>
        </w:rPr>
      </w:pPr>
      <w:r>
        <w:rPr>
          <w:highlight w:val="white"/>
        </w:rPr>
        <w:t xml:space="preserve">  </w:t>
      </w:r>
      <w:r>
        <w:rPr>
          <w:highlight w:val="white"/>
        </w:rPr>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r>
        <w:rPr>
          <w:highlight w:val="white"/>
        </w:rPr>
      </w:r>
    </w:p>
    <w:p>
      <w:pPr>
        <w:ind w:left="709"/>
        <w:rPr>
          <w:highlight w:val="white"/>
        </w:rPr>
      </w:pPr>
      <w:r>
        <w:rPr>
          <w:highlight w:val="white"/>
        </w:rPr>
      </w:r>
      <w:r>
        <w:rPr>
          <w:highlight w:val="white"/>
        </w:rPr>
      </w:r>
      <w:r>
        <w:rPr>
          <w:highlight w:val="white"/>
        </w:rPr>
      </w:r>
    </w:p>
    <w:p>
      <w:pPr>
        <w:pStyle w:val="1167"/>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r>
        <w:rPr>
          <w:highlight w:val="white"/>
        </w:rPr>
      </w:r>
    </w:p>
    <w:p>
      <w:pPr>
        <w:ind w:left="709"/>
        <w:rPr>
          <w:highlight w:val="white"/>
        </w:rPr>
      </w:pPr>
      <w:r>
        <w:rPr>
          <w:highlight w:val="white"/>
        </w:rPr>
      </w: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r>
        <w:rPr>
          <w:highlight w:val="white"/>
        </w:rPr>
      </w:r>
    </w:p>
    <w:p>
      <w:pPr>
        <w:pStyle w:val="1167"/>
        <w:contextualSpacing/>
        <w:ind w:left="1120"/>
        <w:jc w:val="both"/>
        <w:widowControl w:val="off"/>
        <w:rPr>
          <w:highlight w:val="white"/>
        </w:rPr>
      </w:pPr>
      <w:r>
        <w:rPr>
          <w:highlight w:val="white"/>
        </w:rPr>
      </w:r>
      <w:r>
        <w:rPr>
          <w:highlight w:val="white"/>
        </w:rPr>
      </w:r>
      <w:r>
        <w:rPr>
          <w:highlight w:val="white"/>
        </w:rPr>
      </w:r>
    </w:p>
    <w:p>
      <w:pPr>
        <w:pStyle w:val="1167"/>
        <w:contextualSpacing/>
        <w:ind w:left="1778"/>
        <w:jc w:val="both"/>
        <w:widowControl w:val="off"/>
        <w:rPr>
          <w:highlight w:val="white"/>
        </w:rPr>
      </w:pPr>
      <w:r>
        <w:rPr>
          <w:highlight w:val="white"/>
        </w:rPr>
      </w:r>
      <w:r>
        <w:rPr>
          <w:highlight w:val="white"/>
        </w:rPr>
      </w:r>
      <w:r>
        <w:rPr>
          <w:highlight w:val="white"/>
        </w:rPr>
      </w:r>
    </w:p>
    <w:p>
      <w:pPr>
        <w:pStyle w:val="1167"/>
        <w:numPr>
          <w:ilvl w:val="0"/>
          <w:numId w:val="17"/>
        </w:numPr>
        <w:contextualSpacing/>
        <w:jc w:val="both"/>
        <w:widowControl w:val="off"/>
        <w:rPr>
          <w:highlight w:val="white"/>
        </w:rPr>
      </w:pPr>
      <w:r>
        <w:rPr>
          <w:b/>
          <w:highlight w:val="white"/>
        </w:rPr>
        <w:t xml:space="preserve">Техническое предложение на выполнение работ:</w:t>
      </w:r>
      <w:r>
        <w:rPr>
          <w:highlight w:val="white"/>
        </w:rPr>
        <w:t xml:space="preserve">_________________________________________________*</w:t>
      </w:r>
      <w:r>
        <w:rPr>
          <w:highlight w:val="white"/>
        </w:rPr>
      </w:r>
      <w:r>
        <w:rPr>
          <w:highlight w:val="white"/>
        </w:rPr>
      </w:r>
    </w:p>
    <w:p>
      <w:pPr>
        <w:pStyle w:val="1167"/>
        <w:ind w:left="1120"/>
        <w:jc w:val="both"/>
        <w:widowControl w:val="off"/>
        <w:rPr>
          <w:highlight w:val="white"/>
        </w:rPr>
      </w:pPr>
      <w:r>
        <w:rPr>
          <w:highlight w:val="white"/>
        </w:rPr>
        <w:t xml:space="preserve">(Варианты заполнения: </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r>
      <w:r>
        <w:rPr>
          <w:highlight w:val="white"/>
        </w:rPr>
      </w:r>
    </w:p>
    <w:p>
      <w:pPr>
        <w:pStyle w:val="1167"/>
        <w:ind w:left="0" w:firstLine="567"/>
        <w:jc w:val="both"/>
        <w:widowControl w:val="off"/>
        <w:rPr>
          <w:bCs/>
          <w:color w:val="000000"/>
          <w:highlight w:val="white"/>
        </w:rPr>
      </w:pPr>
      <w:r>
        <w:rPr>
          <w:bCs/>
          <w:color w:val="000000"/>
          <w:highlight w:val="white"/>
        </w:rPr>
      </w: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«____»___________________*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r>
        <w:rPr>
          <w:bCs/>
          <w:highlight w:val="white"/>
          <w:u w:val="single"/>
        </w:rPr>
      </w:r>
    </w:p>
    <w:p>
      <w:pPr>
        <w:jc w:val="both"/>
        <w:rPr>
          <w:bCs/>
          <w:highlight w:val="white"/>
          <w:u w:val="single"/>
        </w:rPr>
      </w:pPr>
      <w:r>
        <w:rPr>
          <w:bCs/>
          <w:highlight w:val="white"/>
          <w:u w:val="single"/>
        </w:rPr>
        <w:t xml:space="preserve">- сроки поставки, выполнения работ / услуг соответствуют требованиям Организатора;</w:t>
      </w:r>
      <w:r>
        <w:rPr>
          <w:bCs/>
          <w:highlight w:val="white"/>
          <w:u w:val="single"/>
        </w:rPr>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r>
        <w:rPr>
          <w:highlight w:val="white"/>
        </w:rPr>
      </w:r>
    </w:p>
    <w:p>
      <w:pPr>
        <w:pStyle w:val="1220"/>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w:t>
      </w:r>
      <w:r>
        <w:rPr>
          <w:rFonts w:eastAsia="Arial Unicode MS"/>
          <w:highlight w:val="white"/>
        </w:rPr>
        <w:t xml:space="preserve">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r>
        <w:rPr>
          <w:rFonts w:eastAsia="Arial Unicode MS"/>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«Россети Московский регион».</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r>
        <w:rPr>
          <w:highlight w:val="white"/>
        </w:rPr>
      </w:r>
    </w:p>
    <w:p>
      <w:pPr>
        <w:jc w:val="both"/>
        <w:rPr>
          <w:highlight w:val="white"/>
        </w:rPr>
      </w:pPr>
      <w:r>
        <w:rPr>
          <w:highlight w:val="white"/>
        </w:rPr>
        <w:t xml:space="preserve">- является полностью правоспособным;</w:t>
      </w:r>
      <w:r>
        <w:rPr>
          <w:highlight w:val="white"/>
        </w:rPr>
      </w:r>
      <w:r>
        <w:rPr>
          <w:highlight w:val="white"/>
        </w:rPr>
      </w:r>
    </w:p>
    <w:p>
      <w:pPr>
        <w:jc w:val="both"/>
        <w:rPr>
          <w:highlight w:val="white"/>
        </w:rPr>
      </w:pPr>
      <w:r>
        <w:rPr>
          <w:highlight w:val="white"/>
        </w:rPr>
        <w:t xml:space="preserve">- является полностью дееспособным;</w:t>
      </w:r>
      <w:r>
        <w:rPr>
          <w:highlight w:val="white"/>
        </w:rPr>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r>
        <w:rPr>
          <w:highlight w:val="white"/>
        </w:rPr>
      </w:r>
    </w:p>
    <w:p>
      <w:pPr>
        <w:jc w:val="both"/>
        <w:rPr>
          <w:highlight w:val="white"/>
        </w:rPr>
      </w:pPr>
      <w:r>
        <w:rPr>
          <w:highlight w:val="white"/>
        </w:rPr>
        <w:t xml:space="preserve">- не находится в пр</w:t>
      </w:r>
      <w:r>
        <w:rPr>
          <w:highlight w:val="white"/>
        </w:rPr>
        <w:t xml:space="preserve">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С уважением,</w:t>
      </w:r>
      <w:r>
        <w:rPr>
          <w:highlight w:val="white"/>
        </w:rPr>
      </w:r>
      <w:r>
        <w:rPr>
          <w:highlight w:val="white"/>
        </w:rPr>
      </w:r>
    </w:p>
    <w:p>
      <w:pPr>
        <w:jc w:val="both"/>
        <w:widowControl w:val="off"/>
        <w:rPr>
          <w:highlight w:val="white"/>
        </w:rPr>
      </w:pPr>
      <w:r>
        <w:rPr>
          <w:highlight w:val="white"/>
        </w:rPr>
        <w:t xml:space="preserve">___________________________                                      ________________________</w:t>
      </w:r>
      <w:r>
        <w:rPr>
          <w:highlight w:val="white"/>
        </w:rPr>
      </w:r>
      <w:r>
        <w:rPr>
          <w:highlight w:val="white"/>
        </w:rPr>
      </w:r>
    </w:p>
    <w:p>
      <w:pPr>
        <w:jc w:val="both"/>
        <w:widowControl w:val="off"/>
        <w:rPr>
          <w:highlight w:val="white"/>
        </w:rPr>
      </w:pPr>
      <w:r>
        <w:rPr>
          <w:b/>
          <w:i/>
          <w:highlight w:val="white"/>
        </w:rPr>
        <w:t xml:space="preserve">(должность ответственного лица)*                            (подпись, расшифровка)*</w:t>
      </w:r>
      <w:r>
        <w:rPr>
          <w:highlight w:val="white"/>
        </w:rPr>
      </w:r>
      <w:r>
        <w:rPr>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r>
        <w:rPr>
          <w:highlight w:val="white"/>
          <w:vertAlign w:val="superscript"/>
        </w:rPr>
      </w:r>
    </w:p>
    <w:p>
      <w:pPr>
        <w:jc w:val="both"/>
        <w:widowControl w:val="off"/>
        <w:rPr>
          <w:b/>
          <w:highlight w:val="white"/>
        </w:rPr>
      </w:pPr>
      <w:r>
        <w:rPr>
          <w:b/>
          <w:highlight w:val="white"/>
        </w:rPr>
        <w:t xml:space="preserve">Форма 2</w:t>
      </w:r>
      <w:r>
        <w:rPr>
          <w:b/>
          <w:highlight w:val="white"/>
        </w:rPr>
      </w:r>
      <w:r>
        <w:rPr>
          <w:b/>
          <w:highlight w:val="white"/>
        </w:rPr>
      </w:r>
    </w:p>
    <w:p>
      <w:pPr>
        <w:ind w:firstLine="567"/>
        <w:jc w:val="both"/>
        <w:widowControl w:val="off"/>
        <w:rPr>
          <w:bCs/>
          <w:highlight w:val="white"/>
        </w:rPr>
      </w:pPr>
      <w:r>
        <w:rPr>
          <w:bCs/>
          <w:highlight w:val="white"/>
        </w:rPr>
      </w:r>
      <w:r>
        <w:rPr>
          <w:bCs/>
          <w:highlight w:val="white"/>
        </w:rPr>
      </w:r>
      <w:r>
        <w:rPr>
          <w:bCs/>
          <w:highlight w:val="white"/>
        </w:rPr>
      </w:r>
    </w:p>
    <w:p>
      <w:pPr>
        <w:ind w:firstLine="567"/>
        <w:jc w:val="both"/>
        <w:widowControl w:val="off"/>
        <w:rPr>
          <w:bCs/>
          <w:highlight w:val="white"/>
        </w:rPr>
      </w:pPr>
      <w:r>
        <w:rPr>
          <w:bCs/>
          <w:highlight w:val="white"/>
        </w:rPr>
        <w:t xml:space="preserve">от «____»_____________ г. №__________</w:t>
      </w:r>
      <w:r>
        <w:rPr>
          <w:bCs/>
          <w:highlight w:val="white"/>
        </w:rPr>
      </w:r>
      <w:r>
        <w:rPr>
          <w:bCs/>
          <w:highlight w:val="white"/>
        </w:rPr>
      </w:r>
    </w:p>
    <w:p>
      <w:pPr>
        <w:jc w:val="center"/>
        <w:rPr>
          <w:b/>
          <w:highlight w:val="white"/>
        </w:rPr>
      </w:pPr>
      <w:r>
        <w:rPr>
          <w:b/>
          <w:highlight w:val="white"/>
        </w:rPr>
      </w: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r>
        <w:rPr>
          <w:b/>
          <w:highlight w:val="white"/>
        </w:rPr>
      </w:r>
    </w:p>
    <w:p>
      <w:pPr>
        <w:jc w:val="center"/>
        <w:widowControl w:val="off"/>
        <w:tabs>
          <w:tab w:val="num" w:pos="1134" w:leader="none"/>
        </w:tabs>
        <w:rPr>
          <w:b/>
          <w:highlight w:val="white"/>
        </w:rPr>
        <w:outlineLvl w:val="1"/>
      </w:pPr>
      <w:r>
        <w:rPr>
          <w:b/>
          <w:highlight w:val="white"/>
        </w:rPr>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балансу последнего завершенного периода)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представителя)*</w:t>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должность)*</w:t>
            </w:r>
            <w:r>
              <w:rPr>
                <w:highlight w:val="white"/>
              </w:rPr>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r>
      <w:r>
        <w:rPr>
          <w:sz w:val="20"/>
          <w:highlight w:val="white"/>
        </w:rPr>
      </w:r>
      <w:r>
        <w:rPr>
          <w:sz w:val="20"/>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rPr>
        <w:rStyle w:val="1170"/>
      </w:rPr>
      <w:framePr w:wrap="around" w:vAnchor="text" w:hAnchor="margin" w:xAlign="right"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pPr>
      <w:pStyle w:val="100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9"/>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jc w:val="center"/>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20</w:t>
    </w:r>
    <w:r>
      <w:rPr>
        <w:rStyle w:val="1170"/>
      </w:rPr>
      <w:fldChar w:fldCharType="end"/>
    </w:r>
    <w:r>
      <w:rPr>
        <w:rStyle w:val="1170"/>
      </w:rPr>
    </w:r>
    <w:r>
      <w:rPr>
        <w:rStyle w:val="1170"/>
      </w:rPr>
    </w:r>
  </w:p>
  <w:p>
    <w:pPr>
      <w:pStyle w:val="1168"/>
      <w:rPr>
        <w:rStyle w:val="1170"/>
      </w:rPr>
      <w:framePr w:wrap="around" w:vAnchor="text" w:hAnchor="margin" w:xAlign="center" w:y="1"/>
    </w:pPr>
    <w:r>
      <w:rPr>
        <w:rStyle w:val="1170"/>
      </w:rPr>
    </w:r>
    <w:r>
      <w:rPr>
        <w:rStyle w:val="1170"/>
      </w:rPr>
    </w:r>
  </w:p>
  <w:p>
    <w:pPr>
      <w:pStyle w:val="1168"/>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2">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4">
    <w:multiLevelType w:val="hybridMultilevel"/>
    <w:lvl w:ilvl="0">
      <w:start w:val="1"/>
      <w:numFmt w:val="decimal"/>
      <w:pStyle w:val="1201"/>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5">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14"/>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93"/>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8">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10">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11">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13">
    <w:multiLevelType w:val="hybridMultilevel"/>
    <w:lvl w:ilvl="0">
      <w:start w:val="1"/>
      <w:numFmt w:val="bullet"/>
      <w:pStyle w:val="1200"/>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5">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7">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18">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0">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22">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24">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6">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7">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28">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1">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3">
    <w:multiLevelType w:val="hybridMultilevel"/>
    <w:lvl w:ilvl="0">
      <w:start w:val="1"/>
      <w:numFmt w:val="decimal"/>
      <w:pStyle w:val="1210"/>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12"/>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11"/>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13"/>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4">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35">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7">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38">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9">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pStyle w:val="1209"/>
      <w:isLgl w:val="false"/>
      <w:suff w:val="tab"/>
      <w:lvlText w:val="%1."/>
      <w:lvlJc w:val="left"/>
      <w:pPr>
        <w:ind w:left="420" w:hanging="420"/>
        <w:tabs>
          <w:tab w:val="num" w:pos="420" w:leader="none"/>
        </w:tabs>
      </w:pPr>
    </w:lvl>
    <w:lvl w:ilvl="1">
      <w:start w:val="1"/>
      <w:numFmt w:val="decimal"/>
      <w:pStyle w:val="1204"/>
      <w:isLgl w:val="false"/>
      <w:suff w:val="tab"/>
      <w:lvlText w:val="%1.%2."/>
      <w:lvlJc w:val="left"/>
      <w:pPr>
        <w:ind w:left="1271" w:hanging="420"/>
        <w:tabs>
          <w:tab w:val="num" w:pos="1271" w:leader="none"/>
        </w:tabs>
      </w:pPr>
    </w:lvl>
    <w:lvl w:ilvl="2">
      <w:start w:val="1"/>
      <w:numFmt w:val="decimal"/>
      <w:pStyle w:val="1205"/>
      <w:isLgl w:val="false"/>
      <w:suff w:val="tab"/>
      <w:lvlText w:val="%1.%2.%3."/>
      <w:lvlJc w:val="left"/>
      <w:pPr>
        <w:ind w:left="720" w:hanging="720"/>
        <w:tabs>
          <w:tab w:val="num" w:pos="720" w:leader="none"/>
        </w:tabs>
      </w:pPr>
    </w:lvl>
    <w:lvl w:ilvl="3">
      <w:start w:val="1"/>
      <w:numFmt w:val="decimal"/>
      <w:pStyle w:val="1206"/>
      <w:isLgl w:val="false"/>
      <w:suff w:val="tab"/>
      <w:lvlText w:val="%1.%2.%3.%4."/>
      <w:lvlJc w:val="left"/>
      <w:pPr>
        <w:ind w:left="720" w:hanging="720"/>
        <w:tabs>
          <w:tab w:val="num" w:pos="720" w:leader="none"/>
        </w:tabs>
      </w:pPr>
    </w:lvl>
    <w:lvl w:ilvl="4">
      <w:start w:val="1"/>
      <w:numFmt w:val="decimal"/>
      <w:pStyle w:val="1207"/>
      <w:isLgl w:val="false"/>
      <w:suff w:val="tab"/>
      <w:lvlText w:val="%1.%2.%3.%4.%5."/>
      <w:lvlJc w:val="left"/>
      <w:pPr>
        <w:ind w:left="1080" w:hanging="1080"/>
        <w:tabs>
          <w:tab w:val="num" w:pos="1080" w:leader="none"/>
        </w:tabs>
      </w:pPr>
    </w:lvl>
    <w:lvl w:ilvl="5">
      <w:start w:val="1"/>
      <w:numFmt w:val="decimal"/>
      <w:pStyle w:val="1208"/>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65" w:default="1">
    <w:name w:val="Normal"/>
    <w:qFormat/>
    <w:rPr>
      <w:sz w:val="24"/>
      <w:szCs w:val="24"/>
      <w:lang w:eastAsia="ru-RU"/>
    </w:rPr>
  </w:style>
  <w:style w:type="paragraph" w:styleId="966">
    <w:name w:val="Heading 1"/>
    <w:basedOn w:val="965"/>
    <w:next w:val="965"/>
    <w:link w:val="1155"/>
    <w:qFormat/>
    <w:pPr>
      <w:keepNext/>
      <w:spacing w:before="240" w:after="60"/>
      <w:outlineLvl w:val="0"/>
    </w:pPr>
    <w:rPr>
      <w:rFonts w:ascii="Arial" w:hAnsi="Arial" w:cs="Arial"/>
      <w:b/>
      <w:bCs/>
      <w:sz w:val="32"/>
      <w:szCs w:val="32"/>
    </w:rPr>
  </w:style>
  <w:style w:type="paragraph" w:styleId="967">
    <w:name w:val="Heading 2"/>
    <w:basedOn w:val="965"/>
    <w:next w:val="965"/>
    <w:link w:val="1156"/>
    <w:qFormat/>
    <w:pPr>
      <w:keepNext/>
      <w:spacing w:before="240" w:after="60"/>
      <w:outlineLvl w:val="1"/>
    </w:pPr>
    <w:rPr>
      <w:rFonts w:ascii="Cambria" w:hAnsi="Cambria" w:cs="Cambria"/>
      <w:b/>
      <w:bCs/>
      <w:i/>
      <w:iCs/>
      <w:sz w:val="28"/>
      <w:szCs w:val="28"/>
    </w:rPr>
  </w:style>
  <w:style w:type="paragraph" w:styleId="968">
    <w:name w:val="Heading 3"/>
    <w:basedOn w:val="965"/>
    <w:next w:val="965"/>
    <w:link w:val="987"/>
    <w:uiPriority w:val="9"/>
    <w:unhideWhenUsed/>
    <w:qFormat/>
    <w:pPr>
      <w:keepLines/>
      <w:keepNext/>
      <w:spacing w:before="320" w:after="200"/>
      <w:outlineLvl w:val="2"/>
    </w:pPr>
    <w:rPr>
      <w:rFonts w:ascii="Arial" w:hAnsi="Arial" w:eastAsia="Arial" w:cs="Arial"/>
      <w:sz w:val="30"/>
      <w:szCs w:val="30"/>
    </w:rPr>
  </w:style>
  <w:style w:type="paragraph" w:styleId="969">
    <w:name w:val="Heading 4"/>
    <w:basedOn w:val="965"/>
    <w:next w:val="965"/>
    <w:link w:val="1159"/>
    <w:qFormat/>
    <w:pPr>
      <w:keepNext/>
      <w:spacing w:before="240" w:after="60"/>
      <w:widowControl w:val="off"/>
      <w:outlineLvl w:val="3"/>
    </w:pPr>
    <w:rPr>
      <w:rFonts w:ascii="Calibri" w:hAnsi="Calibri" w:cs="Calibri"/>
      <w:b/>
      <w:bCs/>
      <w:sz w:val="28"/>
      <w:szCs w:val="28"/>
    </w:rPr>
  </w:style>
  <w:style w:type="paragraph" w:styleId="970">
    <w:name w:val="Heading 5"/>
    <w:basedOn w:val="965"/>
    <w:next w:val="965"/>
    <w:link w:val="1160"/>
    <w:qFormat/>
    <w:pPr>
      <w:spacing w:before="240" w:after="60"/>
      <w:widowControl w:val="off"/>
      <w:outlineLvl w:val="4"/>
    </w:pPr>
    <w:rPr>
      <w:rFonts w:ascii="Calibri" w:hAnsi="Calibri" w:cs="Calibri"/>
      <w:b/>
      <w:bCs/>
      <w:i/>
      <w:iCs/>
      <w:sz w:val="26"/>
      <w:szCs w:val="26"/>
    </w:rPr>
  </w:style>
  <w:style w:type="paragraph" w:styleId="971">
    <w:name w:val="Heading 6"/>
    <w:basedOn w:val="965"/>
    <w:next w:val="965"/>
    <w:link w:val="1161"/>
    <w:qFormat/>
    <w:pPr>
      <w:ind w:left="1152" w:hanging="1152"/>
      <w:spacing w:before="240" w:after="60"/>
      <w:tabs>
        <w:tab w:val="num" w:pos="1152" w:leader="none"/>
      </w:tabs>
      <w:outlineLvl w:val="5"/>
    </w:pPr>
    <w:rPr>
      <w:b/>
      <w:bCs/>
      <w:sz w:val="22"/>
      <w:szCs w:val="22"/>
    </w:rPr>
  </w:style>
  <w:style w:type="paragraph" w:styleId="972">
    <w:name w:val="Heading 7"/>
    <w:basedOn w:val="965"/>
    <w:next w:val="965"/>
    <w:link w:val="1162"/>
    <w:qFormat/>
    <w:pPr>
      <w:ind w:left="1296" w:hanging="1296"/>
      <w:spacing w:before="240" w:after="60"/>
      <w:tabs>
        <w:tab w:val="num" w:pos="1296" w:leader="none"/>
      </w:tabs>
      <w:outlineLvl w:val="6"/>
    </w:pPr>
  </w:style>
  <w:style w:type="paragraph" w:styleId="973">
    <w:name w:val="Heading 8"/>
    <w:basedOn w:val="965"/>
    <w:next w:val="965"/>
    <w:link w:val="1163"/>
    <w:qFormat/>
    <w:pPr>
      <w:spacing w:before="240" w:after="60"/>
      <w:widowControl w:val="off"/>
      <w:outlineLvl w:val="7"/>
    </w:pPr>
    <w:rPr>
      <w:rFonts w:ascii="Calibri" w:hAnsi="Calibri" w:cs="Calibri"/>
      <w:i/>
      <w:iCs/>
    </w:rPr>
  </w:style>
  <w:style w:type="paragraph" w:styleId="974">
    <w:name w:val="Heading 9"/>
    <w:basedOn w:val="965"/>
    <w:next w:val="965"/>
    <w:link w:val="1164"/>
    <w:qFormat/>
    <w:pPr>
      <w:ind w:left="1584" w:hanging="1584"/>
      <w:spacing w:before="240" w:after="60"/>
      <w:tabs>
        <w:tab w:val="num" w:pos="1584" w:leader="none"/>
      </w:tabs>
      <w:outlineLvl w:val="8"/>
    </w:pPr>
    <w:rPr>
      <w:rFonts w:ascii="Arial" w:hAnsi="Arial" w:cs="Arial"/>
      <w:sz w:val="22"/>
      <w:szCs w:val="22"/>
    </w:rPr>
  </w:style>
  <w:style w:type="character" w:styleId="975" w:default="1">
    <w:name w:val="Default Paragraph Font"/>
    <w:uiPriority w:val="1"/>
    <w:semiHidden/>
    <w:unhideWhenUsed/>
  </w:style>
  <w:style w:type="table" w:styleId="976" w:default="1">
    <w:name w:val="Normal Table"/>
    <w:uiPriority w:val="99"/>
    <w:semiHidden/>
    <w:unhideWhenUsed/>
    <w:tblPr>
      <w:tblInd w:w="0" w:type="dxa"/>
      <w:tblCellMar>
        <w:left w:w="108" w:type="dxa"/>
        <w:top w:w="0" w:type="dxa"/>
        <w:right w:w="108" w:type="dxa"/>
        <w:bottom w:w="0" w:type="dxa"/>
      </w:tblCellMar>
    </w:tblPr>
  </w:style>
  <w:style w:type="numbering" w:styleId="977" w:default="1">
    <w:name w:val="No List"/>
    <w:uiPriority w:val="99"/>
    <w:semiHidden/>
    <w:unhideWhenUsed/>
  </w:style>
  <w:style w:type="character" w:styleId="978" w:customStyle="1">
    <w:name w:val="Heading 3 Char"/>
    <w:basedOn w:val="975"/>
    <w:uiPriority w:val="9"/>
    <w:rPr>
      <w:rFonts w:ascii="Arial" w:hAnsi="Arial" w:eastAsia="Arial" w:cs="Arial"/>
      <w:sz w:val="30"/>
      <w:szCs w:val="30"/>
    </w:rPr>
  </w:style>
  <w:style w:type="character" w:styleId="979" w:customStyle="1">
    <w:name w:val="Subtitle Char"/>
    <w:basedOn w:val="975"/>
    <w:uiPriority w:val="11"/>
    <w:rPr>
      <w:sz w:val="24"/>
      <w:szCs w:val="24"/>
    </w:rPr>
  </w:style>
  <w:style w:type="character" w:styleId="980" w:customStyle="1">
    <w:name w:val="Quote Char"/>
    <w:uiPriority w:val="29"/>
    <w:rPr>
      <w:i/>
    </w:rPr>
  </w:style>
  <w:style w:type="character" w:styleId="981" w:customStyle="1">
    <w:name w:val="Intense Quote Char"/>
    <w:uiPriority w:val="30"/>
    <w:rPr>
      <w:i/>
    </w:rPr>
  </w:style>
  <w:style w:type="character" w:styleId="982" w:customStyle="1">
    <w:name w:val="Header Char"/>
    <w:basedOn w:val="975"/>
    <w:uiPriority w:val="99"/>
  </w:style>
  <w:style w:type="character" w:styleId="983" w:customStyle="1">
    <w:name w:val="Caption Char"/>
    <w:basedOn w:val="975"/>
    <w:uiPriority w:val="35"/>
    <w:rPr>
      <w:b/>
      <w:bCs/>
      <w:color w:val="4f81bd" w:themeColor="accent1"/>
      <w:sz w:val="18"/>
      <w:szCs w:val="18"/>
    </w:rPr>
  </w:style>
  <w:style w:type="character" w:styleId="984" w:customStyle="1">
    <w:name w:val="Endnote Text Char"/>
    <w:uiPriority w:val="99"/>
    <w:rPr>
      <w:sz w:val="20"/>
    </w:rPr>
  </w:style>
  <w:style w:type="character" w:styleId="985" w:customStyle="1">
    <w:name w:val="Heading 1 Char"/>
    <w:uiPriority w:val="9"/>
    <w:rPr>
      <w:rFonts w:ascii="Arial" w:hAnsi="Arial" w:eastAsia="Arial" w:cs="Arial"/>
      <w:sz w:val="40"/>
      <w:szCs w:val="40"/>
    </w:rPr>
  </w:style>
  <w:style w:type="character" w:styleId="986" w:customStyle="1">
    <w:name w:val="Heading 2 Char"/>
    <w:uiPriority w:val="9"/>
    <w:rPr>
      <w:rFonts w:ascii="Arial" w:hAnsi="Arial" w:eastAsia="Arial" w:cs="Arial"/>
      <w:sz w:val="34"/>
    </w:rPr>
  </w:style>
  <w:style w:type="character" w:styleId="987" w:customStyle="1">
    <w:name w:val="Заголовок 3 Знак"/>
    <w:link w:val="968"/>
    <w:uiPriority w:val="9"/>
    <w:rPr>
      <w:rFonts w:ascii="Arial" w:hAnsi="Arial" w:eastAsia="Arial" w:cs="Arial"/>
      <w:sz w:val="30"/>
      <w:szCs w:val="30"/>
    </w:rPr>
  </w:style>
  <w:style w:type="character" w:styleId="988" w:customStyle="1">
    <w:name w:val="Heading 4 Char"/>
    <w:uiPriority w:val="9"/>
    <w:rPr>
      <w:rFonts w:ascii="Arial" w:hAnsi="Arial" w:eastAsia="Arial" w:cs="Arial"/>
      <w:b/>
      <w:bCs/>
      <w:sz w:val="26"/>
      <w:szCs w:val="26"/>
    </w:rPr>
  </w:style>
  <w:style w:type="character" w:styleId="989" w:customStyle="1">
    <w:name w:val="Heading 5 Char"/>
    <w:uiPriority w:val="9"/>
    <w:rPr>
      <w:rFonts w:ascii="Arial" w:hAnsi="Arial" w:eastAsia="Arial" w:cs="Arial"/>
      <w:b/>
      <w:bCs/>
      <w:sz w:val="24"/>
      <w:szCs w:val="24"/>
    </w:rPr>
  </w:style>
  <w:style w:type="character" w:styleId="990" w:customStyle="1">
    <w:name w:val="Heading 6 Char"/>
    <w:uiPriority w:val="9"/>
    <w:rPr>
      <w:rFonts w:ascii="Arial" w:hAnsi="Arial" w:eastAsia="Arial" w:cs="Arial"/>
      <w:b/>
      <w:bCs/>
      <w:sz w:val="22"/>
      <w:szCs w:val="22"/>
    </w:rPr>
  </w:style>
  <w:style w:type="character" w:styleId="991" w:customStyle="1">
    <w:name w:val="Heading 7 Char"/>
    <w:uiPriority w:val="9"/>
    <w:rPr>
      <w:rFonts w:ascii="Arial" w:hAnsi="Arial" w:eastAsia="Arial" w:cs="Arial"/>
      <w:b/>
      <w:bCs/>
      <w:i/>
      <w:iCs/>
      <w:sz w:val="22"/>
      <w:szCs w:val="22"/>
    </w:rPr>
  </w:style>
  <w:style w:type="character" w:styleId="992" w:customStyle="1">
    <w:name w:val="Heading 8 Char"/>
    <w:uiPriority w:val="9"/>
    <w:rPr>
      <w:rFonts w:ascii="Arial" w:hAnsi="Arial" w:eastAsia="Arial" w:cs="Arial"/>
      <w:i/>
      <w:iCs/>
      <w:sz w:val="22"/>
      <w:szCs w:val="22"/>
    </w:rPr>
  </w:style>
  <w:style w:type="character" w:styleId="993" w:customStyle="1">
    <w:name w:val="Heading 9 Char"/>
    <w:uiPriority w:val="9"/>
    <w:rPr>
      <w:rFonts w:ascii="Arial" w:hAnsi="Arial" w:eastAsia="Arial" w:cs="Arial"/>
      <w:i/>
      <w:iCs/>
      <w:sz w:val="21"/>
      <w:szCs w:val="21"/>
    </w:rPr>
  </w:style>
  <w:style w:type="paragraph" w:styleId="994">
    <w:name w:val="List Paragraph"/>
    <w:basedOn w:val="965"/>
    <w:uiPriority w:val="34"/>
    <w:qFormat/>
    <w:pPr>
      <w:contextualSpacing/>
      <w:ind w:left="720"/>
    </w:pPr>
  </w:style>
  <w:style w:type="paragraph" w:styleId="995">
    <w:name w:val="No Spacing"/>
    <w:uiPriority w:val="1"/>
    <w:qFormat/>
  </w:style>
  <w:style w:type="paragraph" w:styleId="996">
    <w:name w:val="Title"/>
    <w:basedOn w:val="965"/>
    <w:link w:val="1165"/>
    <w:qFormat/>
    <w:pPr>
      <w:jc w:val="center"/>
    </w:pPr>
    <w:rPr>
      <w:b/>
      <w:bCs/>
      <w:sz w:val="28"/>
      <w:szCs w:val="28"/>
      <w:lang w:val="en-US"/>
    </w:rPr>
  </w:style>
  <w:style w:type="character" w:styleId="997" w:customStyle="1">
    <w:name w:val="Title Char"/>
    <w:uiPriority w:val="10"/>
    <w:rPr>
      <w:sz w:val="48"/>
      <w:szCs w:val="48"/>
    </w:rPr>
  </w:style>
  <w:style w:type="paragraph" w:styleId="998">
    <w:name w:val="Subtitle"/>
    <w:basedOn w:val="965"/>
    <w:next w:val="965"/>
    <w:link w:val="999"/>
    <w:uiPriority w:val="11"/>
    <w:qFormat/>
    <w:pPr>
      <w:spacing w:before="200" w:after="200"/>
    </w:pPr>
  </w:style>
  <w:style w:type="character" w:styleId="999" w:customStyle="1">
    <w:name w:val="Подзаголовок Знак"/>
    <w:link w:val="998"/>
    <w:uiPriority w:val="11"/>
    <w:rPr>
      <w:sz w:val="24"/>
      <w:szCs w:val="24"/>
    </w:rPr>
  </w:style>
  <w:style w:type="paragraph" w:styleId="1000">
    <w:name w:val="Quote"/>
    <w:basedOn w:val="965"/>
    <w:next w:val="965"/>
    <w:link w:val="1001"/>
    <w:uiPriority w:val="29"/>
    <w:qFormat/>
    <w:pPr>
      <w:ind w:left="720" w:right="720"/>
    </w:pPr>
    <w:rPr>
      <w:i/>
    </w:rPr>
  </w:style>
  <w:style w:type="character" w:styleId="1001" w:customStyle="1">
    <w:name w:val="Цитата 2 Знак"/>
    <w:link w:val="1000"/>
    <w:uiPriority w:val="29"/>
    <w:rPr>
      <w:i/>
    </w:rPr>
  </w:style>
  <w:style w:type="paragraph" w:styleId="1002">
    <w:name w:val="Intense Quote"/>
    <w:basedOn w:val="965"/>
    <w:next w:val="965"/>
    <w:link w:val="100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03" w:customStyle="1">
    <w:name w:val="Выделенная цитата Знак"/>
    <w:link w:val="1002"/>
    <w:uiPriority w:val="30"/>
    <w:rPr>
      <w:i/>
    </w:rPr>
  </w:style>
  <w:style w:type="paragraph" w:styleId="1004">
    <w:name w:val="Header"/>
    <w:basedOn w:val="965"/>
    <w:link w:val="1005"/>
    <w:uiPriority w:val="99"/>
    <w:unhideWhenUsed/>
    <w:pPr>
      <w:tabs>
        <w:tab w:val="center" w:pos="7143" w:leader="none"/>
        <w:tab w:val="right" w:pos="14287" w:leader="none"/>
      </w:tabs>
    </w:pPr>
  </w:style>
  <w:style w:type="character" w:styleId="1005" w:customStyle="1">
    <w:name w:val="Верхний колонтитул Знак"/>
    <w:link w:val="1004"/>
    <w:uiPriority w:val="99"/>
  </w:style>
  <w:style w:type="paragraph" w:styleId="1006">
    <w:name w:val="Footer"/>
    <w:basedOn w:val="965"/>
    <w:link w:val="1171"/>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7" w:customStyle="1">
    <w:name w:val="Footer Char"/>
    <w:uiPriority w:val="99"/>
  </w:style>
  <w:style w:type="paragraph" w:styleId="1008">
    <w:name w:val="Caption"/>
    <w:basedOn w:val="965"/>
    <w:next w:val="965"/>
    <w:link w:val="1009"/>
    <w:uiPriority w:val="35"/>
    <w:semiHidden/>
    <w:unhideWhenUsed/>
    <w:qFormat/>
    <w:pPr>
      <w:spacing w:line="276" w:lineRule="auto"/>
    </w:pPr>
    <w:rPr>
      <w:b/>
      <w:bCs/>
      <w:color w:val="4f81bd" w:themeColor="accent1"/>
      <w:sz w:val="18"/>
      <w:szCs w:val="18"/>
    </w:rPr>
  </w:style>
  <w:style w:type="character" w:styleId="1009" w:customStyle="1">
    <w:name w:val="Название объекта Знак"/>
    <w:link w:val="1008"/>
    <w:uiPriority w:val="99"/>
  </w:style>
  <w:style w:type="table" w:styleId="1010">
    <w:name w:val="Table Grid"/>
    <w:basedOn w:val="976"/>
    <w:uiPriority w:val="59"/>
    <w:tblPr>
      <w:tblInd w:w="0" w:type="dxa"/>
      <w:tblCellMar>
        <w:left w:w="108" w:type="dxa"/>
        <w:top w:w="0" w:type="dxa"/>
        <w:right w:w="108" w:type="dxa"/>
        <w:bottom w:w="0" w:type="dxa"/>
      </w:tblCellMar>
    </w:tblPr>
  </w:style>
  <w:style w:type="table" w:styleId="1011"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12">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13">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14">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15">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6">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7">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8"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9"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20"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21"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22"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23"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24">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25"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6"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7"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8"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9"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30"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31">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3"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4"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5"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6"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7"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8">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9"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40"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41"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42"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43"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44"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45">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6"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7"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8"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9"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50"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51"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52">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53"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54"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55"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6"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7"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8"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9">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60"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61"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62"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63"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64"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65"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6">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7"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8"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9"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70"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71"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72"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73">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74"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75"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6"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7"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8"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9"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80">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1"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2"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83"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84"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85"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6"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7">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8"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9"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90"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91"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92"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93"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94">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95"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6"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7"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8"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9"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00"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01">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02"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03"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04"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05"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6"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7"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8">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9"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10"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11"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12"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13"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14"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15"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6"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7"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8"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9"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0"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1"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2"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23"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24"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5"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6"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7"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8"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9"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30"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31"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32"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33"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34"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35"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6">
    <w:name w:val="Hyperlink"/>
    <w:uiPriority w:val="99"/>
    <w:unhideWhenUsed/>
    <w:rPr>
      <w:color w:val="0000ff"/>
      <w:u w:val="single"/>
    </w:rPr>
  </w:style>
  <w:style w:type="paragraph" w:styleId="1137">
    <w:name w:val="footnote text"/>
    <w:basedOn w:val="965"/>
    <w:link w:val="1173"/>
    <w:unhideWhenUsed/>
    <w:rPr>
      <w:sz w:val="20"/>
      <w:szCs w:val="20"/>
    </w:rPr>
  </w:style>
  <w:style w:type="character" w:styleId="1138" w:customStyle="1">
    <w:name w:val="Footnote Text Char"/>
    <w:uiPriority w:val="99"/>
    <w:rPr>
      <w:sz w:val="18"/>
    </w:rPr>
  </w:style>
  <w:style w:type="character" w:styleId="1139">
    <w:name w:val="footnote reference"/>
    <w:unhideWhenUsed/>
    <w:rPr>
      <w:vertAlign w:val="superscript"/>
    </w:rPr>
  </w:style>
  <w:style w:type="paragraph" w:styleId="1140">
    <w:name w:val="endnote text"/>
    <w:basedOn w:val="965"/>
    <w:link w:val="1141"/>
    <w:uiPriority w:val="99"/>
    <w:semiHidden/>
    <w:unhideWhenUsed/>
    <w:rPr>
      <w:sz w:val="20"/>
    </w:rPr>
  </w:style>
  <w:style w:type="character" w:styleId="1141" w:customStyle="1">
    <w:name w:val="Текст концевой сноски Знак"/>
    <w:link w:val="1140"/>
    <w:uiPriority w:val="99"/>
    <w:rPr>
      <w:sz w:val="20"/>
    </w:rPr>
  </w:style>
  <w:style w:type="character" w:styleId="1142">
    <w:name w:val="endnote reference"/>
    <w:uiPriority w:val="99"/>
    <w:semiHidden/>
    <w:unhideWhenUsed/>
    <w:rPr>
      <w:vertAlign w:val="superscript"/>
    </w:rPr>
  </w:style>
  <w:style w:type="paragraph" w:styleId="1143">
    <w:name w:val="toc 1"/>
    <w:basedOn w:val="965"/>
    <w:next w:val="965"/>
    <w:uiPriority w:val="39"/>
    <w:qFormat/>
    <w:pPr>
      <w:ind w:left="180"/>
      <w:widowControl w:val="off"/>
      <w:tabs>
        <w:tab w:val="right" w:pos="9818" w:leader="dot"/>
      </w:tabs>
    </w:pPr>
  </w:style>
  <w:style w:type="paragraph" w:styleId="1144">
    <w:name w:val="toc 2"/>
    <w:basedOn w:val="965"/>
    <w:next w:val="965"/>
    <w:uiPriority w:val="39"/>
    <w:unhideWhenUsed/>
    <w:pPr>
      <w:ind w:left="240"/>
      <w:spacing w:after="100"/>
    </w:pPr>
  </w:style>
  <w:style w:type="paragraph" w:styleId="1145">
    <w:name w:val="toc 3"/>
    <w:basedOn w:val="965"/>
    <w:next w:val="965"/>
    <w:uiPriority w:val="39"/>
    <w:unhideWhenUsed/>
    <w:pPr>
      <w:ind w:left="480"/>
      <w:spacing w:after="100"/>
    </w:pPr>
  </w:style>
  <w:style w:type="paragraph" w:styleId="1146">
    <w:name w:val="toc 4"/>
    <w:basedOn w:val="965"/>
    <w:next w:val="965"/>
    <w:uiPriority w:val="39"/>
    <w:unhideWhenUsed/>
    <w:pPr>
      <w:ind w:left="850"/>
      <w:spacing w:after="57"/>
    </w:pPr>
  </w:style>
  <w:style w:type="paragraph" w:styleId="1147">
    <w:name w:val="toc 5"/>
    <w:basedOn w:val="965"/>
    <w:next w:val="965"/>
    <w:uiPriority w:val="39"/>
    <w:unhideWhenUsed/>
    <w:pPr>
      <w:ind w:left="1134"/>
      <w:spacing w:after="57"/>
    </w:pPr>
  </w:style>
  <w:style w:type="paragraph" w:styleId="1148">
    <w:name w:val="toc 6"/>
    <w:basedOn w:val="965"/>
    <w:next w:val="965"/>
    <w:uiPriority w:val="39"/>
    <w:unhideWhenUsed/>
    <w:pPr>
      <w:ind w:left="1417"/>
      <w:spacing w:after="57"/>
    </w:pPr>
  </w:style>
  <w:style w:type="paragraph" w:styleId="1149">
    <w:name w:val="toc 7"/>
    <w:basedOn w:val="965"/>
    <w:next w:val="965"/>
    <w:uiPriority w:val="39"/>
    <w:unhideWhenUsed/>
    <w:pPr>
      <w:ind w:left="1701"/>
      <w:spacing w:after="57"/>
    </w:pPr>
  </w:style>
  <w:style w:type="paragraph" w:styleId="1150">
    <w:name w:val="toc 8"/>
    <w:basedOn w:val="965"/>
    <w:next w:val="965"/>
    <w:uiPriority w:val="39"/>
    <w:unhideWhenUsed/>
    <w:pPr>
      <w:ind w:left="1984"/>
      <w:spacing w:after="57"/>
    </w:pPr>
  </w:style>
  <w:style w:type="paragraph" w:styleId="1151">
    <w:name w:val="toc 9"/>
    <w:basedOn w:val="965"/>
    <w:next w:val="965"/>
    <w:uiPriority w:val="39"/>
    <w:unhideWhenUsed/>
    <w:pPr>
      <w:ind w:left="2268"/>
      <w:spacing w:after="57"/>
    </w:pPr>
  </w:style>
  <w:style w:type="paragraph" w:styleId="1152">
    <w:name w:val="TOC Heading"/>
    <w:basedOn w:val="966"/>
    <w:next w:val="965"/>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53">
    <w:name w:val="table of figures"/>
    <w:basedOn w:val="965"/>
    <w:next w:val="965"/>
    <w:uiPriority w:val="99"/>
    <w:unhideWhenUsed/>
  </w:style>
  <w:style w:type="paragraph" w:styleId="1154" w:customStyle="1">
    <w:name w:val="Заголовок 3;H3;Подраздел;Б3;RTC 3;iz3;римская нумерация"/>
    <w:basedOn w:val="965"/>
    <w:next w:val="965"/>
    <w:link w:val="1158"/>
    <w:qFormat/>
    <w:pPr>
      <w:keepNext/>
      <w:spacing w:before="240" w:after="60"/>
      <w:outlineLvl w:val="2"/>
    </w:pPr>
    <w:rPr>
      <w:rFonts w:ascii="Arial" w:hAnsi="Arial" w:cs="Arial"/>
      <w:b/>
      <w:bCs/>
      <w:sz w:val="26"/>
      <w:szCs w:val="26"/>
    </w:rPr>
  </w:style>
  <w:style w:type="character" w:styleId="1155" w:customStyle="1">
    <w:name w:val="Заголовок 1 Знак"/>
    <w:link w:val="966"/>
    <w:rPr>
      <w:rFonts w:ascii="Arial" w:hAnsi="Arial" w:cs="Arial"/>
      <w:b/>
      <w:bCs/>
      <w:sz w:val="32"/>
      <w:szCs w:val="32"/>
      <w:lang w:val="ru-RU" w:eastAsia="ru-RU" w:bidi="ar-SA"/>
    </w:rPr>
  </w:style>
  <w:style w:type="character" w:styleId="1156" w:customStyle="1">
    <w:name w:val="Заголовок 2 Знак"/>
    <w:link w:val="967"/>
    <w:rPr>
      <w:rFonts w:ascii="Cambria" w:hAnsi="Cambria" w:cs="Cambria"/>
      <w:b/>
      <w:bCs/>
      <w:i/>
      <w:iCs/>
      <w:sz w:val="28"/>
      <w:szCs w:val="28"/>
    </w:rPr>
  </w:style>
  <w:style w:type="character" w:styleId="1157" w:customStyle="1">
    <w:name w:val="Заголовок 2 Знак1;Заголовок 2 Знак Знак"/>
    <w:rPr>
      <w:rFonts w:ascii="Cambria" w:hAnsi="Cambria" w:cs="Cambria"/>
      <w:b/>
      <w:bCs/>
      <w:i/>
      <w:iCs/>
      <w:sz w:val="28"/>
      <w:szCs w:val="28"/>
      <w:lang w:val="ru-RU" w:eastAsia="ru-RU" w:bidi="ar-SA"/>
    </w:rPr>
  </w:style>
  <w:style w:type="character" w:styleId="1158" w:customStyle="1">
    <w:name w:val="Заголовок 3 Знак;H3 Знак;Подраздел Знак;Б3 Знак;RTC 3 Знак;iz3 Знак;римская нумерация Знак"/>
    <w:link w:val="1154"/>
    <w:rPr>
      <w:rFonts w:ascii="Arial" w:hAnsi="Arial" w:cs="Arial"/>
      <w:b/>
      <w:bCs/>
      <w:sz w:val="26"/>
      <w:szCs w:val="26"/>
      <w:lang w:val="ru-RU" w:eastAsia="ru-RU" w:bidi="ar-SA"/>
    </w:rPr>
  </w:style>
  <w:style w:type="character" w:styleId="1159" w:customStyle="1">
    <w:name w:val="Заголовок 4 Знак"/>
    <w:link w:val="969"/>
    <w:rPr>
      <w:rFonts w:ascii="Calibri" w:hAnsi="Calibri" w:cs="Calibri"/>
      <w:b/>
      <w:bCs/>
      <w:sz w:val="28"/>
      <w:szCs w:val="28"/>
      <w:lang w:val="ru-RU" w:eastAsia="ru-RU" w:bidi="ar-SA"/>
    </w:rPr>
  </w:style>
  <w:style w:type="character" w:styleId="1160" w:customStyle="1">
    <w:name w:val="Заголовок 5 Знак"/>
    <w:link w:val="970"/>
    <w:rPr>
      <w:rFonts w:ascii="Calibri" w:hAnsi="Calibri" w:cs="Calibri"/>
      <w:b/>
      <w:bCs/>
      <w:i/>
      <w:iCs/>
      <w:sz w:val="26"/>
      <w:szCs w:val="26"/>
      <w:lang w:val="ru-RU" w:eastAsia="ru-RU" w:bidi="ar-SA"/>
    </w:rPr>
  </w:style>
  <w:style w:type="character" w:styleId="1161" w:customStyle="1">
    <w:name w:val="Заголовок 6 Знак"/>
    <w:link w:val="971"/>
    <w:rPr>
      <w:b/>
      <w:bCs/>
      <w:sz w:val="22"/>
      <w:szCs w:val="22"/>
      <w:lang w:val="ru-RU" w:eastAsia="ru-RU" w:bidi="ar-SA"/>
    </w:rPr>
  </w:style>
  <w:style w:type="character" w:styleId="1162" w:customStyle="1">
    <w:name w:val="Заголовок 7 Знак"/>
    <w:link w:val="972"/>
    <w:rPr>
      <w:sz w:val="24"/>
      <w:szCs w:val="24"/>
      <w:lang w:val="ru-RU" w:eastAsia="ru-RU" w:bidi="ar-SA"/>
    </w:rPr>
  </w:style>
  <w:style w:type="character" w:styleId="1163" w:customStyle="1">
    <w:name w:val="Заголовок 8 Знак"/>
    <w:link w:val="973"/>
    <w:rPr>
      <w:rFonts w:ascii="Calibri" w:hAnsi="Calibri" w:cs="Calibri"/>
      <w:i/>
      <w:iCs/>
      <w:sz w:val="24"/>
      <w:szCs w:val="24"/>
      <w:lang w:val="ru-RU" w:eastAsia="ru-RU" w:bidi="ar-SA"/>
    </w:rPr>
  </w:style>
  <w:style w:type="character" w:styleId="1164" w:customStyle="1">
    <w:name w:val="Заголовок 9 Знак"/>
    <w:link w:val="974"/>
    <w:rPr>
      <w:rFonts w:ascii="Arial" w:hAnsi="Arial" w:cs="Arial"/>
      <w:sz w:val="22"/>
      <w:szCs w:val="22"/>
      <w:lang w:val="ru-RU" w:eastAsia="ru-RU" w:bidi="ar-SA"/>
    </w:rPr>
  </w:style>
  <w:style w:type="character" w:styleId="1165" w:customStyle="1">
    <w:name w:val="Название Знак"/>
    <w:link w:val="996"/>
    <w:rPr>
      <w:b/>
      <w:bCs/>
      <w:sz w:val="28"/>
      <w:szCs w:val="28"/>
      <w:lang w:val="en-US" w:eastAsia="ru-RU" w:bidi="ar-SA"/>
    </w:rPr>
  </w:style>
  <w:style w:type="character" w:styleId="1166">
    <w:name w:val="Strong"/>
    <w:qFormat/>
    <w:rPr>
      <w:b/>
      <w:bCs/>
    </w:rPr>
  </w:style>
  <w:style w:type="paragraph" w:styleId="1167"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65"/>
    <w:link w:val="1183"/>
    <w:uiPriority w:val="34"/>
    <w:qFormat/>
    <w:pPr>
      <w:ind w:left="708"/>
    </w:pPr>
  </w:style>
  <w:style w:type="paragraph" w:styleId="1168" w:customStyle="1">
    <w:name w:val="Верхний колонтитул;Heder;Titul"/>
    <w:basedOn w:val="965"/>
    <w:link w:val="1169"/>
    <w:uiPriority w:val="99"/>
    <w:pPr>
      <w:tabs>
        <w:tab w:val="center" w:pos="4677" w:leader="none"/>
        <w:tab w:val="right" w:pos="9355" w:leader="none"/>
      </w:tabs>
    </w:pPr>
  </w:style>
  <w:style w:type="character" w:styleId="1169" w:customStyle="1">
    <w:name w:val="Верхний колонтитул Знак;Heder Знак1;Titul Знак1"/>
    <w:link w:val="1168"/>
    <w:uiPriority w:val="99"/>
    <w:rPr>
      <w:sz w:val="24"/>
      <w:szCs w:val="24"/>
    </w:rPr>
  </w:style>
  <w:style w:type="character" w:styleId="1170">
    <w:name w:val="page number"/>
    <w:basedOn w:val="975"/>
  </w:style>
  <w:style w:type="character" w:styleId="1171" w:customStyle="1">
    <w:name w:val="Нижний колонтитул Знак"/>
    <w:link w:val="1006"/>
    <w:rPr>
      <w:rFonts w:eastAsia="MS Mincho"/>
      <w:spacing w:val="-2"/>
      <w:sz w:val="24"/>
      <w:szCs w:val="24"/>
    </w:rPr>
  </w:style>
  <w:style w:type="paragraph" w:styleId="1172" w:customStyle="1">
    <w:name w:val="Обычный1"/>
    <w:pPr>
      <w:ind w:firstLine="720"/>
      <w:jc w:val="both"/>
    </w:pPr>
    <w:rPr>
      <w:sz w:val="28"/>
      <w:lang w:eastAsia="ru-RU"/>
    </w:rPr>
  </w:style>
  <w:style w:type="character" w:styleId="1173" w:customStyle="1">
    <w:name w:val="Текст сноски Знак"/>
    <w:basedOn w:val="975"/>
    <w:link w:val="1137"/>
  </w:style>
  <w:style w:type="paragraph" w:styleId="1174">
    <w:name w:val="Balloon Text"/>
    <w:basedOn w:val="965"/>
    <w:link w:val="1175"/>
    <w:uiPriority w:val="99"/>
    <w:semiHidden/>
    <w:unhideWhenUsed/>
    <w:rPr>
      <w:rFonts w:ascii="Tahoma" w:hAnsi="Tahoma" w:cs="Tahoma"/>
      <w:sz w:val="16"/>
      <w:szCs w:val="16"/>
    </w:rPr>
  </w:style>
  <w:style w:type="character" w:styleId="1175" w:customStyle="1">
    <w:name w:val="Текст выноски Знак"/>
    <w:link w:val="1174"/>
    <w:uiPriority w:val="99"/>
    <w:semiHidden/>
    <w:rPr>
      <w:rFonts w:ascii="Tahoma" w:hAnsi="Tahoma" w:cs="Tahoma"/>
      <w:sz w:val="16"/>
      <w:szCs w:val="16"/>
    </w:rPr>
  </w:style>
  <w:style w:type="paragraph" w:styleId="1176">
    <w:name w:val="Plain Text"/>
    <w:basedOn w:val="965"/>
    <w:link w:val="1177"/>
    <w:uiPriority w:val="99"/>
    <w:pPr>
      <w:ind w:firstLine="900"/>
      <w:jc w:val="both"/>
      <w:tabs>
        <w:tab w:val="left" w:pos="360" w:leader="none"/>
      </w:tabs>
    </w:pPr>
    <w:rPr>
      <w:rFonts w:eastAsia="MS Mincho"/>
      <w:spacing w:val="-2"/>
      <w:sz w:val="26"/>
      <w:szCs w:val="20"/>
    </w:rPr>
  </w:style>
  <w:style w:type="character" w:styleId="1177" w:customStyle="1">
    <w:name w:val="Текст Знак"/>
    <w:link w:val="1176"/>
    <w:uiPriority w:val="99"/>
    <w:rPr>
      <w:rFonts w:eastAsia="MS Mincho"/>
      <w:spacing w:val="-2"/>
      <w:sz w:val="26"/>
    </w:rPr>
  </w:style>
  <w:style w:type="paragraph" w:styleId="1178">
    <w:name w:val="Body Text"/>
    <w:basedOn w:val="965"/>
    <w:link w:val="1179"/>
    <w:pPr>
      <w:spacing w:after="120"/>
    </w:pPr>
  </w:style>
  <w:style w:type="character" w:styleId="1179" w:customStyle="1">
    <w:name w:val="Основной текст Знак"/>
    <w:link w:val="1178"/>
    <w:rPr>
      <w:sz w:val="24"/>
      <w:szCs w:val="24"/>
    </w:rPr>
  </w:style>
  <w:style w:type="character" w:styleId="1180" w:customStyle="1">
    <w:name w:val="value"/>
    <w:basedOn w:val="975"/>
  </w:style>
  <w:style w:type="character" w:styleId="1181" w:customStyle="1">
    <w:name w:val="комментарий"/>
    <w:rPr>
      <w:b/>
      <w:i/>
      <w:shd w:val="clear" w:color="auto" w:fill="ffff99"/>
    </w:rPr>
  </w:style>
  <w:style w:type="character" w:styleId="1182" w:customStyle="1">
    <w:name w:val="Font Style128"/>
    <w:rPr>
      <w:rFonts w:ascii="Times New Roman" w:hAnsi="Times New Roman" w:cs="Times New Roman"/>
      <w:color w:val="000000"/>
      <w:sz w:val="26"/>
      <w:szCs w:val="26"/>
    </w:rPr>
  </w:style>
  <w:style w:type="character" w:styleId="1183"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7"/>
    <w:uiPriority w:val="34"/>
    <w:qFormat/>
    <w:rPr>
      <w:sz w:val="24"/>
      <w:szCs w:val="24"/>
    </w:rPr>
  </w:style>
  <w:style w:type="paragraph" w:styleId="1184" w:customStyle="1">
    <w:name w:val="Style1"/>
    <w:basedOn w:val="965"/>
    <w:pPr>
      <w:jc w:val="both"/>
      <w:spacing w:line="324" w:lineRule="exact"/>
      <w:widowControl w:val="off"/>
    </w:pPr>
  </w:style>
  <w:style w:type="character" w:styleId="1185"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6"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7" w:customStyle="1">
    <w:name w:val="Нижний колонтитул Знак1"/>
    <w:rPr>
      <w:rFonts w:ascii="Times New Roman" w:hAnsi="Times New Roman" w:eastAsia="Times New Roman" w:cs="Times New Roman"/>
      <w:sz w:val="24"/>
      <w:szCs w:val="24"/>
      <w:lang w:eastAsia="ru-RU"/>
    </w:rPr>
  </w:style>
  <w:style w:type="character" w:styleId="1188">
    <w:name w:val="annotation reference"/>
    <w:unhideWhenUsed/>
    <w:rPr>
      <w:sz w:val="16"/>
      <w:szCs w:val="16"/>
    </w:rPr>
  </w:style>
  <w:style w:type="paragraph" w:styleId="1189">
    <w:name w:val="annotation text"/>
    <w:basedOn w:val="965"/>
    <w:link w:val="1190"/>
    <w:uiPriority w:val="99"/>
    <w:unhideWhenUsed/>
    <w:rPr>
      <w:sz w:val="20"/>
      <w:szCs w:val="20"/>
    </w:rPr>
  </w:style>
  <w:style w:type="character" w:styleId="1190" w:customStyle="1">
    <w:name w:val="Текст примечания Знак"/>
    <w:basedOn w:val="975"/>
    <w:link w:val="1189"/>
    <w:uiPriority w:val="99"/>
  </w:style>
  <w:style w:type="paragraph" w:styleId="1191">
    <w:name w:val="annotation subject"/>
    <w:basedOn w:val="1189"/>
    <w:next w:val="1189"/>
    <w:link w:val="1192"/>
    <w:uiPriority w:val="99"/>
    <w:semiHidden/>
    <w:unhideWhenUsed/>
    <w:rPr>
      <w:b/>
      <w:bCs/>
    </w:rPr>
  </w:style>
  <w:style w:type="character" w:styleId="1192" w:customStyle="1">
    <w:name w:val="Тема примечания Знак"/>
    <w:link w:val="1191"/>
    <w:uiPriority w:val="99"/>
    <w:semiHidden/>
    <w:rPr>
      <w:b/>
      <w:bCs/>
    </w:rPr>
  </w:style>
  <w:style w:type="paragraph" w:styleId="1193" w:customStyle="1">
    <w:name w:val="Пункт2 Знак"/>
    <w:basedOn w:val="965"/>
    <w:link w:val="1194"/>
    <w:pPr>
      <w:numPr>
        <w:ilvl w:val="2"/>
        <w:numId w:val="3"/>
      </w:numPr>
      <w:keepNext/>
      <w:spacing w:before="240" w:after="120"/>
      <w:outlineLvl w:val="2"/>
    </w:pPr>
    <w:rPr>
      <w:b/>
      <w:sz w:val="28"/>
      <w:szCs w:val="20"/>
    </w:rPr>
  </w:style>
  <w:style w:type="character" w:styleId="1194" w:customStyle="1">
    <w:name w:val="Пункт2 Знак Знак"/>
    <w:link w:val="1193"/>
    <w:rPr>
      <w:b/>
      <w:sz w:val="28"/>
    </w:rPr>
  </w:style>
  <w:style w:type="paragraph" w:styleId="1195">
    <w:name w:val="Body Text Indent"/>
    <w:basedOn w:val="965"/>
    <w:link w:val="1196"/>
    <w:uiPriority w:val="99"/>
    <w:semiHidden/>
    <w:unhideWhenUsed/>
    <w:pPr>
      <w:ind w:left="283"/>
      <w:spacing w:after="120"/>
    </w:pPr>
  </w:style>
  <w:style w:type="character" w:styleId="1196" w:customStyle="1">
    <w:name w:val="Основной текст с отступом Знак"/>
    <w:link w:val="1195"/>
    <w:uiPriority w:val="99"/>
    <w:semiHidden/>
    <w:rPr>
      <w:sz w:val="24"/>
      <w:szCs w:val="24"/>
    </w:rPr>
  </w:style>
  <w:style w:type="paragraph" w:styleId="1197" w:customStyle="1">
    <w:name w:val="Times 12"/>
    <w:basedOn w:val="965"/>
    <w:pPr>
      <w:ind w:firstLine="567"/>
      <w:jc w:val="both"/>
    </w:pPr>
    <w:rPr>
      <w:bCs/>
      <w:szCs w:val="22"/>
    </w:rPr>
  </w:style>
  <w:style w:type="paragraph" w:styleId="1198" w:customStyle="1">
    <w:name w:val="Подпункт"/>
    <w:basedOn w:val="965"/>
    <w:link w:val="1199"/>
    <w:pPr>
      <w:ind w:left="1701" w:hanging="1134"/>
      <w:jc w:val="both"/>
      <w:spacing w:line="360" w:lineRule="auto"/>
      <w:tabs>
        <w:tab w:val="num" w:pos="1701" w:leader="none"/>
      </w:tabs>
    </w:pPr>
    <w:rPr>
      <w:sz w:val="22"/>
      <w:szCs w:val="20"/>
    </w:rPr>
  </w:style>
  <w:style w:type="character" w:styleId="1199" w:customStyle="1">
    <w:name w:val="Подпункт Знак1"/>
    <w:link w:val="1198"/>
    <w:rPr>
      <w:sz w:val="22"/>
    </w:rPr>
  </w:style>
  <w:style w:type="paragraph" w:styleId="1200" w:customStyle="1">
    <w:name w:val="Подподпункт"/>
    <w:basedOn w:val="1198"/>
    <w:link w:val="1219"/>
    <w:pPr>
      <w:numPr>
        <w:ilvl w:val="0"/>
        <w:numId w:val="7"/>
      </w:numPr>
    </w:pPr>
  </w:style>
  <w:style w:type="paragraph" w:styleId="1201" w:customStyle="1">
    <w:name w:val="АриалСписок"/>
    <w:basedOn w:val="965"/>
    <w:uiPriority w:val="99"/>
    <w:pPr>
      <w:numPr>
        <w:ilvl w:val="0"/>
        <w:numId w:val="1"/>
      </w:numPr>
      <w:ind w:left="1571"/>
      <w:jc w:val="both"/>
      <w:tabs>
        <w:tab w:val="num" w:pos="1571" w:leader="none"/>
      </w:tabs>
    </w:pPr>
    <w:rPr>
      <w:rFonts w:ascii="Arial" w:hAnsi="Arial" w:cs="Arial"/>
    </w:rPr>
  </w:style>
  <w:style w:type="numbering" w:styleId="1202" w:customStyle="1">
    <w:name w:val="Стиль511"/>
    <w:uiPriority w:val="99"/>
  </w:style>
  <w:style w:type="character" w:styleId="1203" w:customStyle="1">
    <w:name w:val="П.1 Char"/>
    <w:link w:val="1204"/>
    <w:rPr>
      <w:sz w:val="24"/>
      <w:szCs w:val="24"/>
    </w:rPr>
  </w:style>
  <w:style w:type="paragraph" w:styleId="1204" w:customStyle="1">
    <w:name w:val="П.1"/>
    <w:basedOn w:val="965"/>
    <w:link w:val="1203"/>
    <w:qFormat/>
    <w:pPr>
      <w:numPr>
        <w:ilvl w:val="1"/>
        <w:numId w:val="21"/>
      </w:numPr>
      <w:jc w:val="both"/>
    </w:pPr>
  </w:style>
  <w:style w:type="paragraph" w:styleId="1205" w:customStyle="1">
    <w:name w:val="П.1.1"/>
    <w:basedOn w:val="965"/>
    <w:qFormat/>
    <w:pPr>
      <w:numPr>
        <w:ilvl w:val="2"/>
        <w:numId w:val="21"/>
      </w:numPr>
      <w:jc w:val="both"/>
    </w:pPr>
    <w:rPr>
      <w:rFonts w:ascii="Calibri" w:hAnsi="Calibri" w:eastAsia="Calibri"/>
    </w:rPr>
  </w:style>
  <w:style w:type="paragraph" w:styleId="1206" w:customStyle="1">
    <w:name w:val="П.1.1.1"/>
    <w:basedOn w:val="965"/>
    <w:qFormat/>
    <w:pPr>
      <w:numPr>
        <w:ilvl w:val="3"/>
        <w:numId w:val="21"/>
      </w:numPr>
      <w:ind w:left="0" w:firstLine="567"/>
      <w:jc w:val="both"/>
    </w:pPr>
    <w:rPr>
      <w:rFonts w:ascii="Calibri" w:hAnsi="Calibri" w:eastAsia="Calibri"/>
    </w:rPr>
  </w:style>
  <w:style w:type="paragraph" w:styleId="1207" w:customStyle="1">
    <w:name w:val="П.1.1.1.1"/>
    <w:basedOn w:val="965"/>
    <w:qFormat/>
    <w:pPr>
      <w:numPr>
        <w:ilvl w:val="4"/>
        <w:numId w:val="21"/>
      </w:numPr>
      <w:ind w:left="0" w:firstLine="567"/>
      <w:jc w:val="both"/>
    </w:pPr>
    <w:rPr>
      <w:rFonts w:ascii="Calibri" w:hAnsi="Calibri" w:eastAsia="Calibri"/>
    </w:rPr>
  </w:style>
  <w:style w:type="paragraph" w:styleId="1208" w:customStyle="1">
    <w:name w:val="П.1.1.1.1.1"/>
    <w:basedOn w:val="965"/>
    <w:qFormat/>
    <w:pPr>
      <w:numPr>
        <w:ilvl w:val="5"/>
        <w:numId w:val="21"/>
      </w:numPr>
      <w:ind w:left="0" w:firstLine="567"/>
      <w:jc w:val="both"/>
    </w:pPr>
    <w:rPr>
      <w:rFonts w:ascii="Calibri" w:hAnsi="Calibri" w:eastAsia="Calibri"/>
    </w:rPr>
  </w:style>
  <w:style w:type="paragraph" w:styleId="1209" w:customStyle="1">
    <w:name w:val="П.глава"/>
    <w:basedOn w:val="965"/>
    <w:qFormat/>
    <w:pPr>
      <w:numPr>
        <w:ilvl w:val="0"/>
        <w:numId w:val="21"/>
      </w:numPr>
      <w:ind w:right="-6"/>
      <w:jc w:val="center"/>
      <w:spacing w:before="240" w:after="240"/>
    </w:pPr>
    <w:rPr>
      <w:rFonts w:eastAsia="Calibri"/>
      <w:b/>
      <w:bCs/>
    </w:rPr>
  </w:style>
  <w:style w:type="paragraph" w:styleId="1210" w:customStyle="1">
    <w:name w:val="Заголовок_1"/>
    <w:basedOn w:val="965"/>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11" w:customStyle="1">
    <w:name w:val="Пункт_3"/>
    <w:basedOn w:val="965"/>
    <w:uiPriority w:val="99"/>
    <w:pPr>
      <w:numPr>
        <w:ilvl w:val="2"/>
        <w:numId w:val="24"/>
      </w:numPr>
      <w:jc w:val="both"/>
    </w:pPr>
    <w:rPr>
      <w:sz w:val="28"/>
      <w:szCs w:val="28"/>
    </w:rPr>
  </w:style>
  <w:style w:type="paragraph" w:styleId="1212" w:customStyle="1">
    <w:name w:val="Пункт_2"/>
    <w:basedOn w:val="965"/>
    <w:uiPriority w:val="99"/>
    <w:pPr>
      <w:numPr>
        <w:ilvl w:val="1"/>
        <w:numId w:val="24"/>
      </w:numPr>
      <w:jc w:val="both"/>
    </w:pPr>
    <w:rPr>
      <w:sz w:val="28"/>
      <w:szCs w:val="20"/>
    </w:rPr>
  </w:style>
  <w:style w:type="paragraph" w:styleId="1213" w:customStyle="1">
    <w:name w:val="Пункт_5"/>
    <w:basedOn w:val="1211"/>
    <w:uiPriority w:val="99"/>
    <w:pPr>
      <w:numPr>
        <w:ilvl w:val="4"/>
      </w:numPr>
    </w:pPr>
  </w:style>
  <w:style w:type="paragraph" w:styleId="1214" w:customStyle="1">
    <w:name w:val="Пункт"/>
    <w:basedOn w:val="965"/>
    <w:link w:val="1215"/>
    <w:uiPriority w:val="99"/>
    <w:pPr>
      <w:numPr>
        <w:ilvl w:val="2"/>
        <w:numId w:val="4"/>
      </w:numPr>
      <w:jc w:val="both"/>
      <w:spacing w:line="360" w:lineRule="auto"/>
    </w:pPr>
    <w:rPr>
      <w:sz w:val="22"/>
      <w:szCs w:val="20"/>
    </w:rPr>
  </w:style>
  <w:style w:type="character" w:styleId="1215" w:customStyle="1">
    <w:name w:val="Пункт Знак1"/>
    <w:link w:val="1214"/>
    <w:uiPriority w:val="99"/>
    <w:rPr>
      <w:sz w:val="22"/>
    </w:rPr>
  </w:style>
  <w:style w:type="paragraph" w:styleId="1216" w:customStyle="1">
    <w:name w:val="_Маркер (номер) - с заголовком"/>
    <w:basedOn w:val="965"/>
    <w:pPr>
      <w:spacing w:before="240" w:after="60" w:line="360" w:lineRule="auto"/>
    </w:pPr>
    <w:rPr>
      <w:b/>
      <w:bCs/>
      <w:szCs w:val="20"/>
    </w:rPr>
  </w:style>
  <w:style w:type="paragraph" w:styleId="1217" w:customStyle="1">
    <w:name w:val="Style23"/>
    <w:basedOn w:val="965"/>
    <w:pPr>
      <w:ind w:firstLine="706"/>
      <w:jc w:val="both"/>
      <w:spacing w:line="338" w:lineRule="exact"/>
      <w:widowControl w:val="off"/>
    </w:pPr>
  </w:style>
  <w:style w:type="paragraph" w:styleId="1218" w:customStyle="1">
    <w:name w:val="Пункт2"/>
    <w:basedOn w:val="1214"/>
    <w:pPr>
      <w:numPr>
        <w:ilvl w:val="0"/>
        <w:numId w:val="0"/>
      </w:numPr>
      <w:ind w:left="1320" w:hanging="720"/>
      <w:jc w:val="left"/>
      <w:keepNext/>
      <w:spacing w:before="240" w:after="120" w:line="240" w:lineRule="auto"/>
      <w:outlineLvl w:val="2"/>
    </w:pPr>
    <w:rPr>
      <w:b/>
      <w:sz w:val="26"/>
      <w:szCs w:val="26"/>
    </w:rPr>
  </w:style>
  <w:style w:type="character" w:styleId="1219" w:customStyle="1">
    <w:name w:val="Подподпункт Знак"/>
    <w:link w:val="1200"/>
    <w:rPr>
      <w:sz w:val="22"/>
    </w:rPr>
  </w:style>
  <w:style w:type="paragraph" w:styleId="1220" w:customStyle="1">
    <w:name w:val="Table_text"/>
    <w:basedOn w:val="965"/>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156</cp:revision>
  <dcterms:created xsi:type="dcterms:W3CDTF">2026-03-03T12:45:00Z</dcterms:created>
  <dcterms:modified xsi:type="dcterms:W3CDTF">2026-07-07T09:40:15Z</dcterms:modified>
  <cp:version>983040</cp:version>
</cp:coreProperties>
</file>